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8570B">
        <w:trPr>
          <w:tblCellSpacing w:w="0" w:type="dxa"/>
        </w:trPr>
        <w:tc>
          <w:tcPr>
            <w:tcW w:w="9638" w:type="dxa"/>
            <w:shd w:val="clear" w:color="auto" w:fill="FFFFFF"/>
            <w:vAlign w:val="center"/>
          </w:tcPr>
          <w:tbl>
            <w:tblPr>
              <w:tblW w:w="9638" w:type="dxa"/>
              <w:tblCellSpacing w:w="0" w:type="dxa"/>
              <w:tblLayout w:type="fixed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48570B">
              <w:trPr>
                <w:tblCellSpacing w:w="0" w:type="dxa"/>
              </w:trPr>
              <w:tc>
                <w:tcPr>
                  <w:tcW w:w="9638" w:type="dxa"/>
                </w:tcPr>
                <w:tbl>
                  <w:tblPr>
                    <w:tblW w:w="9398" w:type="dxa"/>
                    <w:tblCellSpacing w:w="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98"/>
                  </w:tblGrid>
                  <w:tr w:rsidR="0048570B">
                    <w:trPr>
                      <w:tblCellSpacing w:w="0" w:type="dxa"/>
                    </w:trPr>
                    <w:tc>
                      <w:tcPr>
                        <w:tcW w:w="9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9398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98"/>
                        </w:tblGrid>
                        <w:tr w:rsidR="0048570B">
                          <w:trPr>
                            <w:tblCellSpacing w:w="0" w:type="dxa"/>
                          </w:trPr>
                          <w:tc>
                            <w:tcPr>
                              <w:tcW w:w="9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</w:tcPr>
                            <w:tbl>
                              <w:tblPr>
                                <w:tblW w:w="9265" w:type="dxa"/>
                                <w:tblCellSpacing w:w="1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88"/>
                                <w:gridCol w:w="77"/>
                              </w:tblGrid>
                              <w:tr w:rsidR="0048570B">
                                <w:trPr>
                                  <w:trHeight w:val="133"/>
                                  <w:tblCellSpacing w:w="15" w:type="dxa"/>
                                </w:trPr>
                                <w:tc>
                                  <w:tcPr>
                                    <w:tcW w:w="91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FF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kern w:val="0"/>
                                        <w:szCs w:val="21"/>
                                      </w:rPr>
                                      <w:t>《疾病监测》杂志论文自检报告</w:t>
                                    </w:r>
                                  </w:p>
                                </w:tc>
                                <w:tc>
                                  <w:tcPr>
                                    <w:tcW w:w="32" w:type="dxa"/>
                                    <w:vAlign w:val="center"/>
                                  </w:tcPr>
                                  <w:p w:rsidR="0048570B" w:rsidRDefault="0048570B">
                                    <w:pPr>
                                      <w:widowControl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48570B">
                                <w:trPr>
                                  <w:trHeight w:val="133"/>
                                  <w:tblCellSpacing w:w="15" w:type="dxa"/>
                                </w:trPr>
                                <w:tc>
                                  <w:tcPr>
                                    <w:tcW w:w="91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( 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请作者填写以下内容，粘贴在稿件的首页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 )</w:t>
                                    </w:r>
                                  </w:p>
                                  <w:p w:rsidR="0048570B" w:rsidRDefault="0048570B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1 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2016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年，《疾病监测》杂志入选“中文精品学术期刊双语数字出版工程”，严格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遴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优秀学术论文以中英双语的形式同时在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中国知网国际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出版平台和疾病监测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测官网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发布。双语稿件可优先快速发表。本文是否申请遴选？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答：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2 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、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若参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与双语出版，请在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“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在线办公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”右侧“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作者投稿”中投稿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，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将稿件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中英文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一起上传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，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并将相关资料邮寄编辑部。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材料不全无法处理，逾期将被退稿。</w:t>
                                    </w:r>
                                    <w:bookmarkStart w:id="0" w:name="_GoBack"/>
                                    <w:bookmarkEnd w:id="0"/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答：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3 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、与同类研究相比，本研究的创新性贡献或创新点是什么？请注意缺乏创新的文章将被退稿。为便于审稿专家评审，请在文后及此处用最简洁的语言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一两句话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说明本文的“创新点”。（不要抄写研究结论）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。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请列出本篇论文的创新点：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答：</w:t>
                                    </w:r>
                                  </w:p>
                                  <w:p w:rsidR="0048570B" w:rsidRDefault="0048570B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、学术评论句：指一篇学术论文中，对于另一篇学术论文具有显性评论性质的句子。“具有显性评论性质”是指在一句学术评论句中，必须写明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个要素，即被评文献的作者姓名、被评文献出现的年份、评论它的标志性词汇（标志词）。与学术评论句配对的文末参考文献，必须是严格对应的被评文献本身。特别注意：本刊鼓励和倡导每一位作者在自己论文中积极撰写学术评论句，评价同行学术贡献，争取学术话语权。请列出本篇论文的学术评论句：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答：</w:t>
                                    </w:r>
                                  </w:p>
                                  <w:p w:rsidR="0048570B" w:rsidRDefault="0048570B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国内和国外期刊是否发表过同类研究？如果是，请恰当地作为参考文献引用，并仔细梳理研究发展的脉络，以学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术评论句客观评价其同行学者的学术贡献，同时以本文创新点的形式说明对已有研究推进。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请确定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已认真回答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上述第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3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和第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4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两个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问题，并恰当引用参考文献。（重点评审）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答：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6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“问题提出”或前言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中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有关研究背景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要较为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详细，研究发展的历史脉络要叙述清楚，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本文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文献回顾是否完备？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答：</w:t>
                                    </w:r>
                                  </w:p>
                                  <w:p w:rsidR="0048570B" w:rsidRDefault="0048570B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7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除病例分析和综述外，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其他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栏目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的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英文摘要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均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采用结构式摘要，按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照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目的、方法、结果、结论依次撰写。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目的简洁明了，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直接切入主题，不要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论及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论文研究基础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理论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和背景知识；方法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全面清晰，包括研究对象、随机方法名称、干预措施、观察指标等等；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结果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有主要数据及其统计分析，包括检验值和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值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；结论准确并与目的呼应。摘要具有自明性，与正文的主要信息等量。英文摘要与中文摘要对应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(400~500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个单词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。请英语好的专业人士把关，请检查是否符合上述要求？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答：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8 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研究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中如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用到未经过同行评议和审查的实验材料、量表或问卷，是否附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加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在文件末尾以供审查？如果没有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附加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，请写出理由。如果该文发表，您是否愿意公开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此数据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与其他研究者共享？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答：</w:t>
                                    </w:r>
                                  </w:p>
                                  <w:p w:rsidR="0048570B" w:rsidRDefault="0048570B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lastRenderedPageBreak/>
                                      <w:t>9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本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研究的原始数据是否可以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上传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供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审稿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人和编辑核查用？如果不能，请写出理由。如果该文发表，是否愿意公开数据供其他研究者共享？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答：</w:t>
                                    </w:r>
                                  </w:p>
                                  <w:p w:rsidR="0048570B" w:rsidRDefault="0048570B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10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若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使用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他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人的量表或问卷，是否得到了对方的授权？许可证明是否寄至编辑部？（如果使用的量表或问卷是公开发表的，则无须授权，但需把附有量表或问卷的文章的复印件或电子版寄至编辑部）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。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答：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11 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统计学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方法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应有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统计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软件名称、资料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类型及所采用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检验方法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的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描述，显著性差异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应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规范表达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为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：“差异具有统计学意义”，（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需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同时列出具体检验值和</w:t>
                                    </w:r>
                                    <w:r w:rsidRPr="00AB274D">
                                      <w:rPr>
                                        <w:rFonts w:ascii="Times New Roman" w:hAnsi="Times New Roman" w:cs="Times New Roman" w:hint="eastAsia"/>
                                        <w:i/>
                                        <w:kern w:val="0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值），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本文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是否符合要求？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答：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12 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文后参考文献与文中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对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文献引用是否一一对应？（建议使用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EndNote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、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NoteExpress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管理参考文献）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答：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13 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文后参考文献的书写格式要求双语著录，参考文献以近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年的文献为主，如果不是，请说明理由。是否符合要求？（请认真阅读投稿指南中有关文献著录的要求）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。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答：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14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是否认真核查数据，确保无误，全文数据小数点保留位数应一致，统计检验值保留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位，构成比合计为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100%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？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答：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15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请对照过网站上的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“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投稿指南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”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逐项检查论文的各个部分？是否有遗漏？（请认真阅读指南）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。</w:t>
                                    </w:r>
                                  </w:p>
                                  <w:p w:rsidR="0048570B" w:rsidRDefault="000902E5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kern w:val="0"/>
                                        <w:szCs w:val="21"/>
                                      </w:rPr>
                                      <w:t>答：</w:t>
                                    </w:r>
                                  </w:p>
                                  <w:p w:rsidR="0048570B" w:rsidRDefault="0048570B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" w:type="dxa"/>
                                    <w:vAlign w:val="center"/>
                                  </w:tcPr>
                                  <w:p w:rsidR="0048570B" w:rsidRDefault="0048570B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48570B">
                                <w:trPr>
                                  <w:trHeight w:val="3762"/>
                                  <w:tblCellSpacing w:w="15" w:type="dxa"/>
                                </w:trPr>
                                <w:tc>
                                  <w:tcPr>
                                    <w:tcW w:w="91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48570B" w:rsidRDefault="000902E5">
                                    <w:pP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lastRenderedPageBreak/>
                                      <w:t>1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Cs w:val="21"/>
                                      </w:rPr>
                                      <w:t>6</w:t>
                                    </w:r>
                                    <w:r w:rsidR="00AB274D">
                                      <w:rPr>
                                        <w:rFonts w:ascii="Times New Roman" w:hAnsi="Times New Roman" w:cs="Times New Roman" w:hint="eastAsia"/>
                                        <w:szCs w:val="21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应符合医学伦理学基本原则，论文作者承诺承担一切违反义务和侵权责任。包括：</w:t>
                                    </w:r>
                                  </w:p>
                                  <w:p w:rsidR="0048570B" w:rsidRDefault="000902E5">
                                    <w:pP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）所有作者必须披露可能对作品产生直接或间接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潜在影响或产生偏见的所有关系或利益：</w:t>
                                    </w:r>
                                  </w:p>
                                  <w:p w:rsidR="0048570B" w:rsidRDefault="000902E5">
                                    <w:pPr>
                                      <w:rPr>
                                        <w:rFonts w:ascii="Times New Roman" w:hAnsi="Times New Roman" w:cs="Times New Roman"/>
                                        <w:szCs w:val="21"/>
                                        <w:u w:val="single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szCs w:val="21"/>
                                        </w:rPr>
                                        <w:id w:val="1124039497"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Mincho" w:eastAsia="MS Mincho" w:hAnsi="MS Mincho" w:cs="MS Mincho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有利益冲突，说明：</w:t>
                                    </w:r>
                                  </w:p>
                                  <w:p w:rsidR="0048570B" w:rsidRDefault="000902E5">
                                    <w:pP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szCs w:val="21"/>
                                        </w:rPr>
                                        <w:id w:val="-371377799"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Mincho" w:eastAsia="MS Mincho" w:hAnsi="MS Mincho" w:cs="MS Mincho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无利益冲突</w:t>
                                    </w:r>
                                  </w:p>
                                  <w:p w:rsidR="0048570B" w:rsidRDefault="000902E5">
                                    <w:pP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）人或动物实验，伦理问题表述：</w:t>
                                    </w:r>
                                  </w:p>
                                  <w:p w:rsidR="0048570B" w:rsidRDefault="000902E5">
                                    <w:pP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szCs w:val="21"/>
                                        </w:rPr>
                                        <w:id w:val="489064590"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Mincho" w:eastAsia="MS Mincho" w:hAnsi="MS Mincho" w:cs="MS Mincho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在涉及人类参与者的研究中所执行的所有程序都符合机构和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或国家研究委员会的道德标准以及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1964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年赫尔辛基宣言及其后来的修正或可比较的道德标准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Cs w:val="21"/>
                                      </w:rPr>
                                      <w:t>；</w:t>
                                    </w:r>
                                  </w:p>
                                  <w:p w:rsidR="0048570B" w:rsidRDefault="000902E5">
                                    <w:pP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szCs w:val="21"/>
                                        </w:rPr>
                                        <w:id w:val="-1341312178"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Mincho" w:eastAsia="MS Mincho" w:hAnsi="MS Mincho" w:cs="MS Mincho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遵守了所有适用的国际、国家和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或机构关于爱护和使用动物的准则</w:t>
                                    </w:r>
                                  </w:p>
                                  <w:p w:rsidR="0048570B" w:rsidRDefault="000902E5">
                                    <w:pP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szCs w:val="21"/>
                                        </w:rPr>
                                        <w:id w:val="-398677098"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Mincho" w:eastAsia="MS Mincho" w:hAnsi="MS Mincho" w:cs="MS Mincho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本文不包含作者对人类参与者或动物的研究。</w:t>
                                    </w:r>
                                  </w:p>
                                  <w:p w:rsidR="0048570B" w:rsidRDefault="000902E5">
                                    <w:pP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）知情同意问题：</w:t>
                                    </w:r>
                                  </w:p>
                                  <w:p w:rsidR="0048570B" w:rsidRDefault="000902E5">
                                    <w:pP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szCs w:val="21"/>
                                        </w:rPr>
                                        <w:id w:val="850683069"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Mincho" w:eastAsia="MS Mincho" w:hAnsi="MS Mincho" w:cs="MS Mincho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对于本文所包含的识别信息，所有参与者都获得了额外的知情同意</w:t>
                                    </w:r>
                                  </w:p>
                                  <w:p w:rsidR="0048570B" w:rsidRDefault="000902E5">
                                    <w:pP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szCs w:val="21"/>
                                        </w:rPr>
                                        <w:id w:val="428554576"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Mincho" w:eastAsia="MS Mincho" w:hAnsi="MS Mincho" w:cs="MS Mincho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不涉及知情同意问题</w:t>
                                    </w:r>
                                  </w:p>
                                  <w:p w:rsidR="0048570B" w:rsidRDefault="000902E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FF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（如涉及以上伦理问题，请将扫描版发至编辑部邮箱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Cs w:val="21"/>
                                      </w:rPr>
                                      <w:t>jbjc@icdc.cn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Cs w:val="21"/>
                                      </w:rPr>
                                      <w:t>）</w:t>
                                    </w:r>
                                  </w:p>
                                </w:tc>
                                <w:tc>
                                  <w:tcPr>
                                    <w:tcW w:w="32" w:type="dxa"/>
                                    <w:vAlign w:val="center"/>
                                  </w:tcPr>
                                  <w:p w:rsidR="0048570B" w:rsidRDefault="0048570B">
                                    <w:pPr>
                                      <w:widowControl/>
                                      <w:jc w:val="left"/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8570B" w:rsidRDefault="0048570B">
                              <w:pPr>
                                <w:widowControl/>
                                <w:jc w:val="left"/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48570B" w:rsidRDefault="0048570B">
                        <w:pPr>
                          <w:widowControl/>
                          <w:jc w:val="left"/>
                          <w:rPr>
                            <w:rFonts w:ascii="Times New Roman" w:hAnsi="Times New Roman" w:cs="Times New Roman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48570B" w:rsidRDefault="0048570B">
                  <w:pPr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48570B" w:rsidRDefault="0048570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48570B" w:rsidRDefault="0048570B">
      <w:pPr>
        <w:rPr>
          <w:rFonts w:ascii="Times New Roman" w:hAnsi="Times New Roman" w:cs="Times New Roman"/>
          <w:szCs w:val="21"/>
        </w:rPr>
      </w:pPr>
    </w:p>
    <w:sectPr w:rsidR="0048570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CC65D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E5" w:rsidRDefault="000902E5" w:rsidP="00AB274D">
      <w:r>
        <w:separator/>
      </w:r>
    </w:p>
  </w:endnote>
  <w:endnote w:type="continuationSeparator" w:id="0">
    <w:p w:rsidR="000902E5" w:rsidRDefault="000902E5" w:rsidP="00AB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E5" w:rsidRDefault="000902E5" w:rsidP="00AB274D">
      <w:r>
        <w:separator/>
      </w:r>
    </w:p>
  </w:footnote>
  <w:footnote w:type="continuationSeparator" w:id="0">
    <w:p w:rsidR="000902E5" w:rsidRDefault="000902E5" w:rsidP="00AB274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dc">
    <w15:presenceInfo w15:providerId="None" w15:userId="c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C6"/>
    <w:rsid w:val="00004FA6"/>
    <w:rsid w:val="000902E5"/>
    <w:rsid w:val="003953C6"/>
    <w:rsid w:val="00465CD3"/>
    <w:rsid w:val="0048570B"/>
    <w:rsid w:val="004C4B55"/>
    <w:rsid w:val="004D2F3F"/>
    <w:rsid w:val="004D587B"/>
    <w:rsid w:val="00753030"/>
    <w:rsid w:val="007B4246"/>
    <w:rsid w:val="00A03B99"/>
    <w:rsid w:val="00AB274D"/>
    <w:rsid w:val="00AF1B90"/>
    <w:rsid w:val="00BE398E"/>
    <w:rsid w:val="00C30761"/>
    <w:rsid w:val="00D3704E"/>
    <w:rsid w:val="00DA6EE2"/>
    <w:rsid w:val="00DE5760"/>
    <w:rsid w:val="00E345B2"/>
    <w:rsid w:val="00E538E5"/>
    <w:rsid w:val="00E61645"/>
    <w:rsid w:val="00EE7AD9"/>
    <w:rsid w:val="00F12120"/>
    <w:rsid w:val="00F315B2"/>
    <w:rsid w:val="00FB2C9F"/>
    <w:rsid w:val="00FF4018"/>
    <w:rsid w:val="085068F3"/>
    <w:rsid w:val="29C57B5A"/>
    <w:rsid w:val="3300762C"/>
    <w:rsid w:val="37FA5396"/>
    <w:rsid w:val="4F356C63"/>
    <w:rsid w:val="7025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1624</Characters>
  <Application>Microsoft Office Word</Application>
  <DocSecurity>0</DocSecurity>
  <Lines>13</Lines>
  <Paragraphs>3</Paragraphs>
  <ScaleCrop>false</ScaleCrop>
  <Company>Sky123.Org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cfs-005</cp:lastModifiedBy>
  <cp:revision>3</cp:revision>
  <dcterms:created xsi:type="dcterms:W3CDTF">2018-09-27T16:10:00Z</dcterms:created>
  <dcterms:modified xsi:type="dcterms:W3CDTF">2018-09-28T06:39:00Z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