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A45" w:rsidRPr="004D1437" w:rsidRDefault="00E552AC" w:rsidP="004D1437">
      <w:pPr>
        <w:divId w:val="1419014343"/>
        <w:rPr>
          <w:sz w:val="28"/>
        </w:rPr>
      </w:pPr>
      <w:r w:rsidRPr="004D1437">
        <w:rPr>
          <w:rFonts w:hint="eastAsia"/>
        </w:rPr>
        <w:t>   </w:t>
      </w:r>
      <w:bookmarkStart w:id="0" w:name="_GoBack"/>
      <w:bookmarkEnd w:id="0"/>
      <w:r w:rsidRPr="004D1437">
        <w:rPr>
          <w:rStyle w:val="a5"/>
          <w:rFonts w:hint="eastAsia"/>
          <w:sz w:val="28"/>
        </w:rPr>
        <w:t>审稿意见与作者修改说明（稿号：2019-0670 ）</w:t>
      </w:r>
    </w:p>
    <w:p w:rsidR="00337A45" w:rsidRPr="004D1437" w:rsidRDefault="00E552AC">
      <w:pPr>
        <w:spacing w:line="360" w:lineRule="auto"/>
        <w:divId w:val="299655551"/>
      </w:pPr>
      <w:r w:rsidRPr="004D1437">
        <w:rPr>
          <w:rFonts w:hint="eastAsia"/>
        </w:rPr>
        <w:t>  </w:t>
      </w:r>
    </w:p>
    <w:p w:rsidR="00337A45" w:rsidRPr="004D1437" w:rsidRDefault="00E552AC">
      <w:pPr>
        <w:spacing w:line="360" w:lineRule="auto"/>
        <w:divId w:val="1707023163"/>
      </w:pPr>
      <w:r w:rsidRPr="004D1437">
        <w:rPr>
          <w:rFonts w:hint="eastAsia"/>
        </w:rPr>
        <w:t>——</w:t>
      </w:r>
      <w:proofErr w:type="gramStart"/>
      <w:r w:rsidRPr="004D1437">
        <w:rPr>
          <w:rFonts w:hint="eastAsia"/>
        </w:rPr>
        <w:t>————————————</w:t>
      </w:r>
      <w:proofErr w:type="gramEnd"/>
      <w:r w:rsidRPr="004D1437">
        <w:rPr>
          <w:rStyle w:val="a5"/>
          <w:rFonts w:hint="eastAsia"/>
        </w:rPr>
        <w:t>初审专家意见与作者修改说明</w:t>
      </w:r>
      <w:r w:rsidRPr="004D1437">
        <w:rPr>
          <w:rFonts w:hint="eastAsia"/>
        </w:rPr>
        <w:t>——</w:t>
      </w:r>
      <w:proofErr w:type="gramStart"/>
      <w:r w:rsidRPr="004D1437">
        <w:rPr>
          <w:rFonts w:hint="eastAsia"/>
        </w:rPr>
        <w:t>———————————</w:t>
      </w:r>
      <w:proofErr w:type="gramEnd"/>
    </w:p>
    <w:p w:rsidR="00337A45" w:rsidRPr="004D1437" w:rsidRDefault="00E552AC">
      <w:pPr>
        <w:spacing w:line="360" w:lineRule="auto"/>
        <w:divId w:val="1015771528"/>
        <w:rPr>
          <w:rFonts w:ascii="Times New Roman" w:cs="Times New Roman"/>
        </w:rPr>
      </w:pPr>
      <w:r w:rsidRPr="004D1437">
        <w:rPr>
          <w:rFonts w:hint="eastAsia"/>
        </w:rPr>
        <w:t>专家意见：</w:t>
      </w:r>
      <w:r w:rsidRPr="004D1437">
        <w:rPr>
          <w:rFonts w:ascii="Times New Roman" w:hAnsi="Times New Roman" w:cs="Times New Roman"/>
        </w:rPr>
        <w:t>1</w:t>
      </w:r>
      <w:r w:rsidRPr="004D1437">
        <w:rPr>
          <w:rFonts w:hint="eastAsia"/>
        </w:rPr>
        <w:t>、</w:t>
      </w:r>
      <w:r w:rsidRPr="004D1437">
        <w:rPr>
          <w:rFonts w:ascii="Times New Roman" w:hAnsi="Times New Roman" w:cs="Times New Roman"/>
        </w:rPr>
        <w:t>line 48-49, “</w:t>
      </w:r>
      <w:r w:rsidRPr="004D1437">
        <w:rPr>
          <w:rFonts w:ascii="Times New Roman" w:cs="Times New Roman" w:hint="eastAsia"/>
        </w:rPr>
        <w:t>由于检测方法的局限，目前临床上很少开展</w:t>
      </w:r>
      <w:r w:rsidRPr="004D1437">
        <w:rPr>
          <w:rFonts w:ascii="Times New Roman" w:hAnsi="Times New Roman" w:cs="Times New Roman"/>
        </w:rPr>
        <w:t>PZA</w:t>
      </w:r>
      <w:r w:rsidRPr="004D1437">
        <w:rPr>
          <w:rFonts w:ascii="Times New Roman" w:cs="Times New Roman" w:hint="eastAsia"/>
        </w:rPr>
        <w:t>的耐药检测，且</w:t>
      </w:r>
      <w:r w:rsidRPr="004D1437">
        <w:rPr>
          <w:rFonts w:ascii="Times New Roman" w:hAnsi="Times New Roman" w:cs="Times New Roman"/>
        </w:rPr>
        <w:t>PZA</w:t>
      </w:r>
      <w:r w:rsidRPr="004D1437">
        <w:rPr>
          <w:rFonts w:ascii="Times New Roman" w:cs="Times New Roman" w:hint="eastAsia"/>
        </w:rPr>
        <w:t>耐药与其它抗结核药物耐药相关性的研究较少</w:t>
      </w:r>
      <w:r w:rsidRPr="004D1437">
        <w:rPr>
          <w:rFonts w:ascii="Times New Roman" w:hAnsi="Times New Roman" w:cs="Times New Roman"/>
        </w:rPr>
        <w:t>”</w:t>
      </w:r>
      <w:r w:rsidRPr="004D1437">
        <w:rPr>
          <w:rFonts w:ascii="Times New Roman" w:cs="Times New Roman" w:hint="eastAsia"/>
        </w:rPr>
        <w:t>。说法不尽对，</w:t>
      </w:r>
      <w:r w:rsidRPr="004D1437">
        <w:rPr>
          <w:rFonts w:ascii="Times New Roman" w:hAnsi="Times New Roman" w:cs="Times New Roman"/>
        </w:rPr>
        <w:t>PZA</w:t>
      </w:r>
      <w:r w:rsidRPr="004D1437">
        <w:rPr>
          <w:rFonts w:ascii="Times New Roman" w:cs="Times New Roman" w:hint="eastAsia"/>
        </w:rPr>
        <w:t>因为培养基</w:t>
      </w:r>
      <w:r w:rsidRPr="004D1437">
        <w:rPr>
          <w:rFonts w:ascii="Times New Roman" w:hAnsi="Times New Roman" w:cs="Times New Roman"/>
        </w:rPr>
        <w:t>PH</w:t>
      </w:r>
      <w:r w:rsidRPr="004D1437">
        <w:rPr>
          <w:rFonts w:ascii="Times New Roman" w:cs="Times New Roman" w:hint="eastAsia"/>
        </w:rPr>
        <w:t>值的问题，不能用普通</w:t>
      </w:r>
      <w:proofErr w:type="gramStart"/>
      <w:r w:rsidRPr="004D1437">
        <w:rPr>
          <w:rFonts w:ascii="Times New Roman" w:cs="Times New Roman" w:hint="eastAsia"/>
        </w:rPr>
        <w:t>药敏板的</w:t>
      </w:r>
      <w:proofErr w:type="gramEnd"/>
      <w:r w:rsidRPr="004D1437">
        <w:rPr>
          <w:rFonts w:ascii="Times New Roman" w:cs="Times New Roman" w:hint="eastAsia"/>
        </w:rPr>
        <w:t>方法进行检测，但可以用</w:t>
      </w:r>
      <w:r w:rsidRPr="004D1437">
        <w:rPr>
          <w:rFonts w:ascii="Times New Roman" w:hAnsi="Times New Roman" w:cs="Times New Roman"/>
        </w:rPr>
        <w:t>960</w:t>
      </w:r>
      <w:r w:rsidRPr="004D1437">
        <w:rPr>
          <w:rFonts w:ascii="Times New Roman" w:cs="Times New Roman" w:hint="eastAsia"/>
        </w:rPr>
        <w:t>，也正是作者采用的方法，在临床上进行检测的报道也不少。相关性可能很多文献未直接表明，但在</w:t>
      </w:r>
      <w:r w:rsidRPr="004D1437">
        <w:rPr>
          <w:rFonts w:ascii="Times New Roman" w:hAnsi="Times New Roman" w:cs="Times New Roman"/>
        </w:rPr>
        <w:t>MDR</w:t>
      </w:r>
      <w:r w:rsidRPr="004D1437">
        <w:rPr>
          <w:rFonts w:ascii="Times New Roman" w:cs="Times New Roman" w:hint="eastAsia"/>
        </w:rPr>
        <w:t>、</w:t>
      </w:r>
      <w:r w:rsidRPr="004D1437">
        <w:rPr>
          <w:rFonts w:ascii="Times New Roman" w:hAnsi="Times New Roman" w:cs="Times New Roman"/>
        </w:rPr>
        <w:t>XDR-TB</w:t>
      </w:r>
      <w:r w:rsidRPr="004D1437">
        <w:rPr>
          <w:rFonts w:ascii="Times New Roman" w:cs="Times New Roman" w:hint="eastAsia"/>
        </w:rPr>
        <w:t>中进行包括</w:t>
      </w:r>
      <w:r w:rsidRPr="004D1437">
        <w:rPr>
          <w:rFonts w:ascii="Times New Roman" w:hAnsi="Times New Roman" w:cs="Times New Roman"/>
        </w:rPr>
        <w:t>PZA</w:t>
      </w:r>
      <w:r w:rsidRPr="004D1437">
        <w:rPr>
          <w:rFonts w:ascii="Times New Roman" w:cs="Times New Roman" w:hint="eastAsia"/>
        </w:rPr>
        <w:t>在内的耐药性检测的报道很多，可以看出药物间的相关性。</w:t>
      </w:r>
    </w:p>
    <w:p w:rsidR="00337A45" w:rsidRPr="004D1437" w:rsidRDefault="00E552AC">
      <w:pPr>
        <w:spacing w:line="360" w:lineRule="auto"/>
        <w:divId w:val="1015771528"/>
        <w:rPr>
          <w:rFonts w:ascii="Times New Roman" w:cs="Times New Roman"/>
        </w:rPr>
      </w:pPr>
      <w:r w:rsidRPr="004D1437">
        <w:rPr>
          <w:rFonts w:ascii="Times New Roman" w:cs="Times New Roman"/>
        </w:rPr>
        <w:t xml:space="preserve">                  2</w:t>
      </w:r>
      <w:r w:rsidRPr="004D1437">
        <w:rPr>
          <w:rFonts w:ascii="Times New Roman" w:cs="Times New Roman" w:hint="eastAsia"/>
        </w:rPr>
        <w:t>、</w:t>
      </w:r>
      <w:r w:rsidRPr="004D1437">
        <w:rPr>
          <w:rFonts w:ascii="Times New Roman" w:hAnsi="Times New Roman" w:cs="Times New Roman"/>
        </w:rPr>
        <w:t>line207-208, “</w:t>
      </w:r>
      <w:r w:rsidRPr="004D1437">
        <w:rPr>
          <w:rFonts w:ascii="Times New Roman" w:cs="Times New Roman" w:hint="eastAsia"/>
        </w:rPr>
        <w:t>而在</w:t>
      </w:r>
      <w:r w:rsidRPr="004D1437">
        <w:rPr>
          <w:rFonts w:ascii="Times New Roman" w:hAnsi="Times New Roman" w:cs="Times New Roman"/>
        </w:rPr>
        <w:t>MDR-TB</w:t>
      </w:r>
      <w:r w:rsidRPr="004D1437">
        <w:rPr>
          <w:rFonts w:ascii="Times New Roman" w:cs="Times New Roman" w:hint="eastAsia"/>
        </w:rPr>
        <w:t>患者中约有</w:t>
      </w:r>
      <w:r w:rsidRPr="004D1437">
        <w:rPr>
          <w:rFonts w:ascii="Times New Roman" w:hAnsi="Times New Roman" w:cs="Times New Roman"/>
        </w:rPr>
        <w:t>40%-50%</w:t>
      </w:r>
      <w:r w:rsidRPr="004D1437">
        <w:rPr>
          <w:rFonts w:ascii="Times New Roman" w:cs="Times New Roman" w:hint="eastAsia"/>
        </w:rPr>
        <w:t>的患者对</w:t>
      </w:r>
      <w:r w:rsidRPr="004D1437">
        <w:rPr>
          <w:rFonts w:ascii="Times New Roman" w:hAnsi="Times New Roman" w:cs="Times New Roman"/>
        </w:rPr>
        <w:t>PZA</w:t>
      </w:r>
      <w:r w:rsidRPr="004D1437">
        <w:rPr>
          <w:rFonts w:ascii="Times New Roman" w:cs="Times New Roman" w:hint="eastAsia"/>
        </w:rPr>
        <w:t>耐药。本研究结果显示，本地区</w:t>
      </w:r>
      <w:r w:rsidRPr="004D1437">
        <w:rPr>
          <w:rFonts w:ascii="Times New Roman" w:hAnsi="Times New Roman" w:cs="Times New Roman"/>
        </w:rPr>
        <w:t>MDR-TB</w:t>
      </w:r>
      <w:r w:rsidRPr="004D1437">
        <w:rPr>
          <w:rFonts w:ascii="Times New Roman" w:cs="Times New Roman" w:hint="eastAsia"/>
        </w:rPr>
        <w:t>的</w:t>
      </w:r>
      <w:r w:rsidRPr="004D1437">
        <w:rPr>
          <w:rFonts w:ascii="Times New Roman" w:hAnsi="Times New Roman" w:cs="Times New Roman"/>
        </w:rPr>
        <w:t>PZA</w:t>
      </w:r>
      <w:r w:rsidRPr="004D1437">
        <w:rPr>
          <w:rFonts w:ascii="Times New Roman" w:cs="Times New Roman" w:hint="eastAsia"/>
        </w:rPr>
        <w:t>耐药疫情较为严峻</w:t>
      </w:r>
      <w:r w:rsidRPr="004D1437">
        <w:rPr>
          <w:rFonts w:ascii="Times New Roman" w:hAnsi="Times New Roman" w:cs="Times New Roman"/>
        </w:rPr>
        <w:t>”</w:t>
      </w:r>
      <w:r w:rsidRPr="004D1437">
        <w:rPr>
          <w:rFonts w:ascii="Times New Roman" w:cs="Times New Roman" w:hint="eastAsia"/>
        </w:rPr>
        <w:t>。该研究中</w:t>
      </w:r>
      <w:r w:rsidRPr="004D1437">
        <w:rPr>
          <w:rFonts w:ascii="Times New Roman" w:hAnsi="Times New Roman" w:cs="Times New Roman"/>
        </w:rPr>
        <w:t>MDR</w:t>
      </w:r>
      <w:r w:rsidRPr="004D1437">
        <w:rPr>
          <w:rFonts w:ascii="Times New Roman" w:cs="Times New Roman" w:hint="eastAsia"/>
        </w:rPr>
        <w:t>菌株中的</w:t>
      </w:r>
      <w:r w:rsidRPr="004D1437">
        <w:rPr>
          <w:rFonts w:ascii="Times New Roman" w:hAnsi="Times New Roman" w:cs="Times New Roman"/>
        </w:rPr>
        <w:t>PZA</w:t>
      </w:r>
      <w:r w:rsidRPr="004D1437">
        <w:rPr>
          <w:rFonts w:ascii="Times New Roman" w:cs="Times New Roman" w:hint="eastAsia"/>
        </w:rPr>
        <w:t>的耐药率是</w:t>
      </w:r>
      <w:r w:rsidRPr="004D1437">
        <w:rPr>
          <w:rFonts w:ascii="Times New Roman" w:hAnsi="Times New Roman" w:cs="Times New Roman"/>
        </w:rPr>
        <w:t>47.89%</w:t>
      </w:r>
      <w:r w:rsidRPr="004D1437">
        <w:rPr>
          <w:rFonts w:ascii="Times New Roman" w:cs="Times New Roman" w:hint="eastAsia"/>
        </w:rPr>
        <w:t>（</w:t>
      </w:r>
      <w:r w:rsidRPr="004D1437">
        <w:rPr>
          <w:rFonts w:ascii="Times New Roman" w:hAnsi="Times New Roman" w:cs="Times New Roman"/>
        </w:rPr>
        <w:t>Table 1</w:t>
      </w:r>
      <w:r w:rsidRPr="004D1437">
        <w:rPr>
          <w:rFonts w:ascii="Times New Roman" w:cs="Times New Roman" w:hint="eastAsia"/>
        </w:rPr>
        <w:t>）是在普遍范围之内的。</w:t>
      </w:r>
    </w:p>
    <w:p w:rsidR="00337A45" w:rsidRPr="004D1437" w:rsidRDefault="00E552AC">
      <w:pPr>
        <w:spacing w:line="360" w:lineRule="auto"/>
        <w:divId w:val="1015771528"/>
        <w:rPr>
          <w:rFonts w:ascii="Times New Roman" w:hAnsi="Times New Roman" w:cs="Times New Roman"/>
        </w:rPr>
      </w:pPr>
      <w:r w:rsidRPr="004D1437">
        <w:rPr>
          <w:rFonts w:ascii="Times New Roman" w:cs="Times New Roman"/>
        </w:rPr>
        <w:t xml:space="preserve">                  3</w:t>
      </w:r>
      <w:r w:rsidRPr="004D1437">
        <w:rPr>
          <w:rFonts w:ascii="Times New Roman" w:cs="Times New Roman" w:hint="eastAsia"/>
        </w:rPr>
        <w:t>、</w:t>
      </w:r>
      <w:r w:rsidRPr="004D1437">
        <w:rPr>
          <w:rFonts w:ascii="Times New Roman" w:hAnsi="Times New Roman" w:cs="Times New Roman" w:hint="eastAsia"/>
        </w:rPr>
        <w:t>不少相关文献未进行引用，如</w:t>
      </w:r>
      <w:r w:rsidRPr="004D1437">
        <w:rPr>
          <w:rFonts w:ascii="Times New Roman" w:hAnsi="Times New Roman" w:cs="Times New Roman"/>
        </w:rPr>
        <w:t xml:space="preserve">Khan, M. T., S. I. Malik, et al. (2018). </w:t>
      </w:r>
      <w:proofErr w:type="gramStart"/>
      <w:r w:rsidRPr="004D1437">
        <w:rPr>
          <w:rFonts w:ascii="Times New Roman" w:hAnsi="Times New Roman" w:cs="Times New Roman"/>
        </w:rPr>
        <w:t xml:space="preserve">"Prevalence of Pyrazinamide Resistance in Khyber </w:t>
      </w:r>
      <w:proofErr w:type="spellStart"/>
      <w:r w:rsidRPr="004D1437">
        <w:rPr>
          <w:rFonts w:ascii="Times New Roman" w:hAnsi="Times New Roman" w:cs="Times New Roman"/>
        </w:rPr>
        <w:t>Pakhtunkhwa</w:t>
      </w:r>
      <w:proofErr w:type="spellEnd"/>
      <w:r w:rsidRPr="004D1437">
        <w:rPr>
          <w:rFonts w:ascii="Times New Roman" w:hAnsi="Times New Roman" w:cs="Times New Roman"/>
        </w:rPr>
        <w:t>, Pakistan."</w:t>
      </w:r>
      <w:proofErr w:type="gramEnd"/>
      <w:r w:rsidRPr="004D1437">
        <w:rPr>
          <w:rFonts w:ascii="Times New Roman" w:hAnsi="Times New Roman" w:cs="Times New Roman"/>
        </w:rPr>
        <w:t xml:space="preserve"> </w:t>
      </w:r>
      <w:proofErr w:type="spellStart"/>
      <w:r w:rsidRPr="004D1437">
        <w:rPr>
          <w:rFonts w:ascii="Times New Roman" w:hAnsi="Times New Roman" w:cs="Times New Roman"/>
        </w:rPr>
        <w:t>Microb</w:t>
      </w:r>
      <w:proofErr w:type="spellEnd"/>
      <w:r w:rsidRPr="004D1437">
        <w:rPr>
          <w:rFonts w:ascii="Times New Roman" w:hAnsi="Times New Roman" w:cs="Times New Roman"/>
        </w:rPr>
        <w:t xml:space="preserve"> Drug Resist 24(9): 1417-1421</w:t>
      </w:r>
      <w:r w:rsidRPr="004D1437">
        <w:rPr>
          <w:rFonts w:ascii="Times New Roman" w:hAnsi="Times New Roman" w:cs="Times New Roman" w:hint="eastAsia"/>
        </w:rPr>
        <w:t>；</w:t>
      </w:r>
      <w:proofErr w:type="spellStart"/>
      <w:proofErr w:type="gramStart"/>
      <w:r w:rsidRPr="004D1437">
        <w:rPr>
          <w:rFonts w:ascii="Times New Roman" w:hAnsi="Times New Roman" w:cs="Times New Roman"/>
        </w:rPr>
        <w:t>Gu</w:t>
      </w:r>
      <w:proofErr w:type="spellEnd"/>
      <w:proofErr w:type="gramEnd"/>
      <w:r w:rsidRPr="004D1437">
        <w:rPr>
          <w:rFonts w:ascii="Times New Roman" w:hAnsi="Times New Roman" w:cs="Times New Roman"/>
        </w:rPr>
        <w:t xml:space="preserve">, Y., X. Yu, et al. (2016). "Pyrazinamide resistance among multidrug-resistant tuberculosis clinical isolates in a national referral center of China and its correlations with </w:t>
      </w:r>
      <w:proofErr w:type="spellStart"/>
      <w:r w:rsidRPr="004D1437">
        <w:rPr>
          <w:rFonts w:ascii="Times New Roman" w:hAnsi="Times New Roman" w:cs="Times New Roman"/>
        </w:rPr>
        <w:t>pncA</w:t>
      </w:r>
      <w:proofErr w:type="spellEnd"/>
      <w:r w:rsidRPr="004D1437">
        <w:rPr>
          <w:rFonts w:ascii="Times New Roman" w:hAnsi="Times New Roman" w:cs="Times New Roman"/>
        </w:rPr>
        <w:t xml:space="preserve">, </w:t>
      </w:r>
      <w:proofErr w:type="spellStart"/>
      <w:r w:rsidRPr="004D1437">
        <w:rPr>
          <w:rFonts w:ascii="Times New Roman" w:hAnsi="Times New Roman" w:cs="Times New Roman"/>
        </w:rPr>
        <w:t>rpsA</w:t>
      </w:r>
      <w:proofErr w:type="spellEnd"/>
      <w:r w:rsidRPr="004D1437">
        <w:rPr>
          <w:rFonts w:ascii="Times New Roman" w:hAnsi="Times New Roman" w:cs="Times New Roman"/>
        </w:rPr>
        <w:t xml:space="preserve">, and </w:t>
      </w:r>
      <w:proofErr w:type="spellStart"/>
      <w:r w:rsidRPr="004D1437">
        <w:rPr>
          <w:rFonts w:ascii="Times New Roman" w:hAnsi="Times New Roman" w:cs="Times New Roman"/>
        </w:rPr>
        <w:t>panD</w:t>
      </w:r>
      <w:proofErr w:type="spellEnd"/>
      <w:r w:rsidRPr="004D1437">
        <w:rPr>
          <w:rFonts w:ascii="Times New Roman" w:hAnsi="Times New Roman" w:cs="Times New Roman"/>
        </w:rPr>
        <w:t xml:space="preserve"> gene mutations." </w:t>
      </w:r>
      <w:proofErr w:type="spellStart"/>
      <w:r w:rsidRPr="004D1437">
        <w:rPr>
          <w:rFonts w:ascii="Times New Roman" w:hAnsi="Times New Roman" w:cs="Times New Roman"/>
        </w:rPr>
        <w:t>Diagn</w:t>
      </w:r>
      <w:proofErr w:type="spellEnd"/>
      <w:r w:rsidRPr="004D1437">
        <w:rPr>
          <w:rFonts w:ascii="Times New Roman" w:hAnsi="Times New Roman" w:cs="Times New Roman"/>
        </w:rPr>
        <w:t xml:space="preserve"> </w:t>
      </w:r>
      <w:proofErr w:type="spellStart"/>
      <w:r w:rsidRPr="004D1437">
        <w:rPr>
          <w:rFonts w:ascii="Times New Roman" w:hAnsi="Times New Roman" w:cs="Times New Roman"/>
        </w:rPr>
        <w:t>Microbiol</w:t>
      </w:r>
      <w:proofErr w:type="spellEnd"/>
      <w:r w:rsidRPr="004D1437">
        <w:rPr>
          <w:rFonts w:ascii="Times New Roman" w:hAnsi="Times New Roman" w:cs="Times New Roman"/>
        </w:rPr>
        <w:t xml:space="preserve"> Infect Dis 84(3): 207-211</w:t>
      </w:r>
      <w:r w:rsidRPr="004D1437">
        <w:rPr>
          <w:rFonts w:ascii="Times New Roman" w:hAnsi="Times New Roman" w:cs="Times New Roman" w:hint="eastAsia"/>
        </w:rPr>
        <w:t>等</w:t>
      </w:r>
      <w:r w:rsidRPr="004D1437">
        <w:rPr>
          <w:rFonts w:ascii="Times New Roman" w:hAnsi="Times New Roman" w:cs="Times New Roman"/>
        </w:rPr>
        <w:t xml:space="preserve">. </w:t>
      </w:r>
      <w:r w:rsidRPr="004D1437">
        <w:rPr>
          <w:rFonts w:ascii="Times New Roman" w:hAnsi="Times New Roman" w:cs="Times New Roman" w:hint="eastAsia"/>
        </w:rPr>
        <w:t>关于</w:t>
      </w:r>
      <w:r w:rsidRPr="004D1437">
        <w:rPr>
          <w:rFonts w:ascii="Times New Roman" w:hAnsi="Times New Roman" w:cs="Times New Roman"/>
        </w:rPr>
        <w:t>PZA</w:t>
      </w:r>
      <w:r w:rsidRPr="004D1437">
        <w:rPr>
          <w:rFonts w:ascii="Times New Roman" w:hAnsi="Times New Roman" w:cs="Times New Roman" w:hint="eastAsia"/>
        </w:rPr>
        <w:t>在</w:t>
      </w:r>
      <w:r w:rsidRPr="004D1437">
        <w:rPr>
          <w:rFonts w:ascii="Times New Roman" w:hAnsi="Times New Roman" w:cs="Times New Roman"/>
        </w:rPr>
        <w:t>MDR-TB</w:t>
      </w:r>
      <w:r w:rsidRPr="004D1437">
        <w:rPr>
          <w:rFonts w:ascii="Times New Roman" w:hAnsi="Times New Roman" w:cs="Times New Roman" w:hint="eastAsia"/>
        </w:rPr>
        <w:t>中的耐药率以及其他抗结核药物相关性的结论和本文是一样的。</w:t>
      </w:r>
    </w:p>
    <w:p w:rsidR="00337A45" w:rsidRPr="004D1437" w:rsidRDefault="00E552AC">
      <w:pPr>
        <w:spacing w:line="360" w:lineRule="auto"/>
        <w:divId w:val="1015771528"/>
        <w:rPr>
          <w:rFonts w:ascii="Times New Roman" w:hAnsi="Times New Roman" w:cs="Times New Roman"/>
        </w:rPr>
      </w:pPr>
      <w:r w:rsidRPr="004D1437">
        <w:rPr>
          <w:rFonts w:ascii="Times New Roman" w:hAnsi="Times New Roman" w:cs="Times New Roman"/>
        </w:rPr>
        <w:t xml:space="preserve">                 4</w:t>
      </w:r>
      <w:r w:rsidRPr="004D1437">
        <w:rPr>
          <w:rFonts w:ascii="Times New Roman" w:hAnsi="Times New Roman" w:cs="Times New Roman" w:hint="eastAsia"/>
        </w:rPr>
        <w:t>、</w:t>
      </w:r>
      <w:r w:rsidRPr="004D1437">
        <w:rPr>
          <w:rFonts w:ascii="Times New Roman" w:cs="Times New Roman" w:hint="eastAsia"/>
        </w:rPr>
        <w:t>在前言部分</w:t>
      </w:r>
      <w:r w:rsidRPr="004D1437">
        <w:rPr>
          <w:rFonts w:ascii="Times New Roman" w:hAnsi="Times New Roman" w:cs="Times New Roman"/>
        </w:rPr>
        <w:t>“</w:t>
      </w:r>
      <w:proofErr w:type="gramStart"/>
      <w:r w:rsidRPr="004D1437">
        <w:rPr>
          <w:rFonts w:ascii="Times New Roman" w:cs="Times New Roman" w:hint="eastAsia"/>
        </w:rPr>
        <w:t>吡嗪</w:t>
      </w:r>
      <w:proofErr w:type="gramEnd"/>
      <w:r w:rsidRPr="004D1437">
        <w:rPr>
          <w:rFonts w:ascii="Times New Roman" w:cs="Times New Roman" w:hint="eastAsia"/>
        </w:rPr>
        <w:t>酰胺（</w:t>
      </w:r>
      <w:r w:rsidRPr="004D1437">
        <w:rPr>
          <w:rFonts w:ascii="Times New Roman" w:hAnsi="Times New Roman" w:cs="Times New Roman"/>
        </w:rPr>
        <w:t>pyrazinamide</w:t>
      </w:r>
      <w:r w:rsidRPr="004D1437">
        <w:rPr>
          <w:rFonts w:ascii="Times New Roman" w:cs="Times New Roman" w:hint="eastAsia"/>
        </w:rPr>
        <w:t>，</w:t>
      </w:r>
      <w:r w:rsidRPr="004D1437">
        <w:rPr>
          <w:rFonts w:ascii="Times New Roman" w:hAnsi="Times New Roman" w:cs="Times New Roman"/>
        </w:rPr>
        <w:t>PZA</w:t>
      </w:r>
      <w:r w:rsidRPr="004D1437">
        <w:rPr>
          <w:rFonts w:ascii="Times New Roman" w:cs="Times New Roman" w:hint="eastAsia"/>
        </w:rPr>
        <w:t>）作为重要的抗结核药物能将</w:t>
      </w:r>
      <w:r w:rsidRPr="004D1437">
        <w:rPr>
          <w:rFonts w:ascii="Times New Roman" w:hAnsi="Times New Roman" w:cs="Times New Roman"/>
        </w:rPr>
        <w:t>9~12</w:t>
      </w:r>
      <w:r w:rsidRPr="004D1437">
        <w:rPr>
          <w:rFonts w:ascii="Times New Roman" w:cs="Times New Roman" w:hint="eastAsia"/>
        </w:rPr>
        <w:t>个月的短程化疗疗程缩短至</w:t>
      </w:r>
      <w:r w:rsidRPr="004D1437">
        <w:rPr>
          <w:rFonts w:ascii="Times New Roman" w:hAnsi="Times New Roman" w:cs="Times New Roman"/>
        </w:rPr>
        <w:t>6</w:t>
      </w:r>
      <w:r w:rsidRPr="004D1437">
        <w:rPr>
          <w:rFonts w:ascii="Times New Roman" w:cs="Times New Roman" w:hint="eastAsia"/>
        </w:rPr>
        <w:t>个月</w:t>
      </w:r>
      <w:r w:rsidRPr="004D1437">
        <w:rPr>
          <w:rFonts w:ascii="Times New Roman" w:hAnsi="Times New Roman" w:cs="Times New Roman"/>
        </w:rPr>
        <w:t>”</w:t>
      </w:r>
      <w:r w:rsidRPr="004D1437">
        <w:rPr>
          <w:rFonts w:ascii="Times New Roman" w:cs="Times New Roman" w:hint="eastAsia"/>
        </w:rPr>
        <w:t>和</w:t>
      </w:r>
      <w:r w:rsidRPr="004D1437">
        <w:rPr>
          <w:rFonts w:ascii="Times New Roman" w:hAnsi="Times New Roman" w:cs="Times New Roman"/>
        </w:rPr>
        <w:t>“</w:t>
      </w:r>
      <w:r w:rsidRPr="004D1437">
        <w:rPr>
          <w:rFonts w:ascii="Times New Roman" w:cs="Times New Roman" w:hint="eastAsia"/>
        </w:rPr>
        <w:t>且有研究显示</w:t>
      </w:r>
      <w:r w:rsidRPr="004D1437">
        <w:rPr>
          <w:rFonts w:ascii="Times New Roman" w:hAnsi="Times New Roman" w:cs="Times New Roman"/>
        </w:rPr>
        <w:t>PZA</w:t>
      </w:r>
      <w:r w:rsidRPr="004D1437">
        <w:rPr>
          <w:rFonts w:ascii="Times New Roman" w:cs="Times New Roman" w:hint="eastAsia"/>
        </w:rPr>
        <w:t>结合氟</w:t>
      </w:r>
      <w:proofErr w:type="gramStart"/>
      <w:r w:rsidRPr="004D1437">
        <w:rPr>
          <w:rFonts w:ascii="Times New Roman" w:cs="Times New Roman" w:hint="eastAsia"/>
        </w:rPr>
        <w:t>喹</w:t>
      </w:r>
      <w:proofErr w:type="gramEnd"/>
      <w:r w:rsidRPr="004D1437">
        <w:rPr>
          <w:rFonts w:ascii="Times New Roman" w:cs="Times New Roman" w:hint="eastAsia"/>
        </w:rPr>
        <w:t>诺酮类、贝达喹啉等药物的联合抗结核方案能提升疗效且缩短疗程</w:t>
      </w:r>
      <w:r w:rsidRPr="004D1437">
        <w:rPr>
          <w:rFonts w:ascii="Times New Roman" w:hAnsi="Times New Roman" w:cs="Times New Roman"/>
        </w:rPr>
        <w:t>”</w:t>
      </w:r>
      <w:r w:rsidRPr="004D1437">
        <w:rPr>
          <w:rFonts w:ascii="Times New Roman" w:cs="Times New Roman" w:hint="eastAsia"/>
        </w:rPr>
        <w:t>这</w:t>
      </w:r>
      <w:r w:rsidRPr="004D1437">
        <w:rPr>
          <w:rFonts w:ascii="Times New Roman" w:hAnsi="Times New Roman" w:cs="Times New Roman"/>
        </w:rPr>
        <w:t>2</w:t>
      </w:r>
      <w:r w:rsidRPr="004D1437">
        <w:rPr>
          <w:rFonts w:ascii="Times New Roman" w:cs="Times New Roman" w:hint="eastAsia"/>
        </w:rPr>
        <w:t>个句子，要说清楚对哪类患者，是普通肺结核还是耐药肺结核？</w:t>
      </w:r>
    </w:p>
    <w:p w:rsidR="00337A45" w:rsidRPr="004D1437" w:rsidRDefault="00E552AC">
      <w:pPr>
        <w:spacing w:line="360" w:lineRule="auto"/>
        <w:divId w:val="685134919"/>
      </w:pPr>
      <w:r w:rsidRPr="004D1437">
        <w:rPr>
          <w:rFonts w:hint="eastAsia"/>
        </w:rPr>
        <w:t>回复：1、同意专家老师的意见。已经将句子改为“宁波地区</w:t>
      </w:r>
      <w:r w:rsidRPr="004D1437">
        <w:rPr>
          <w:rFonts w:ascii="Times New Roman" w:cs="Times New Roman" w:hint="eastAsia"/>
        </w:rPr>
        <w:t>目前临床上很少开展</w:t>
      </w:r>
      <w:r w:rsidRPr="004D1437">
        <w:rPr>
          <w:rFonts w:ascii="Times New Roman" w:hAnsi="Times New Roman" w:cs="Times New Roman"/>
        </w:rPr>
        <w:t>PZA</w:t>
      </w:r>
      <w:r w:rsidRPr="004D1437">
        <w:rPr>
          <w:rFonts w:ascii="Times New Roman" w:cs="Times New Roman" w:hint="eastAsia"/>
        </w:rPr>
        <w:t>的耐药检测，且</w:t>
      </w:r>
      <w:r w:rsidRPr="004D1437">
        <w:rPr>
          <w:rFonts w:ascii="Times New Roman" w:hAnsi="Times New Roman" w:cs="Times New Roman"/>
        </w:rPr>
        <w:t>PZA</w:t>
      </w:r>
      <w:r w:rsidRPr="004D1437">
        <w:rPr>
          <w:rFonts w:ascii="Times New Roman" w:cs="Times New Roman" w:hint="eastAsia"/>
        </w:rPr>
        <w:t>耐药与其它抗结核药物耐药相关性尚不明确。</w:t>
      </w:r>
      <w:r w:rsidRPr="004D1437">
        <w:rPr>
          <w:rFonts w:hint="eastAsia"/>
        </w:rPr>
        <w:t>”</w:t>
      </w:r>
    </w:p>
    <w:p w:rsidR="00337A45" w:rsidRPr="004D1437" w:rsidRDefault="00E552AC">
      <w:pPr>
        <w:spacing w:line="360" w:lineRule="auto"/>
        <w:divId w:val="1299187576"/>
      </w:pPr>
      <w:r w:rsidRPr="004D1437">
        <w:rPr>
          <w:rFonts w:hint="eastAsia"/>
        </w:rPr>
        <w:t>     2、同意专家老师的意见。已经将句子改为“</w:t>
      </w:r>
      <w:r w:rsidRPr="004D1437">
        <w:rPr>
          <w:rFonts w:ascii="Times New Roman" w:cs="Times New Roman" w:hint="eastAsia"/>
        </w:rPr>
        <w:t>而在</w:t>
      </w:r>
      <w:r w:rsidRPr="004D1437">
        <w:rPr>
          <w:rFonts w:ascii="Times New Roman" w:hAnsi="Times New Roman" w:cs="Times New Roman"/>
        </w:rPr>
        <w:t>MDR-TB</w:t>
      </w:r>
      <w:r w:rsidRPr="004D1437">
        <w:rPr>
          <w:rFonts w:ascii="Times New Roman" w:cs="Times New Roman" w:hint="eastAsia"/>
        </w:rPr>
        <w:t>患者中约有</w:t>
      </w:r>
      <w:r w:rsidRPr="004D1437">
        <w:rPr>
          <w:rFonts w:ascii="Times New Roman" w:hAnsi="Times New Roman" w:cs="Times New Roman"/>
        </w:rPr>
        <w:t>40%-50%</w:t>
      </w:r>
      <w:r w:rsidRPr="004D1437">
        <w:rPr>
          <w:rFonts w:ascii="Times New Roman" w:cs="Times New Roman" w:hint="eastAsia"/>
        </w:rPr>
        <w:t>的患者对</w:t>
      </w:r>
      <w:r w:rsidRPr="004D1437">
        <w:rPr>
          <w:rFonts w:ascii="Times New Roman" w:hAnsi="Times New Roman" w:cs="Times New Roman"/>
        </w:rPr>
        <w:t>PZA</w:t>
      </w:r>
      <w:r w:rsidRPr="004D1437">
        <w:rPr>
          <w:rFonts w:ascii="Times New Roman" w:cs="Times New Roman" w:hint="eastAsia"/>
        </w:rPr>
        <w:t>耐药。本研究结果显示本地区</w:t>
      </w:r>
      <w:r w:rsidRPr="004D1437">
        <w:rPr>
          <w:rFonts w:ascii="Times New Roman" w:hAnsi="Times New Roman" w:cs="Times New Roman"/>
        </w:rPr>
        <w:t>MDR-TB</w:t>
      </w:r>
      <w:r w:rsidRPr="004D1437">
        <w:rPr>
          <w:rFonts w:ascii="Times New Roman" w:cs="Times New Roman" w:hint="eastAsia"/>
        </w:rPr>
        <w:t>的</w:t>
      </w:r>
      <w:r w:rsidRPr="004D1437">
        <w:rPr>
          <w:rFonts w:ascii="Times New Roman" w:hAnsi="Times New Roman" w:cs="Times New Roman"/>
        </w:rPr>
        <w:t>PZA</w:t>
      </w:r>
      <w:r w:rsidRPr="004D1437">
        <w:rPr>
          <w:rFonts w:ascii="Times New Roman" w:cs="Times New Roman" w:hint="eastAsia"/>
        </w:rPr>
        <w:t>耐药情况与研究相符。</w:t>
      </w:r>
      <w:r w:rsidRPr="004D1437">
        <w:rPr>
          <w:rFonts w:hint="eastAsia"/>
        </w:rPr>
        <w:t>”</w:t>
      </w:r>
    </w:p>
    <w:p w:rsidR="00337A45" w:rsidRPr="004D1437" w:rsidRDefault="00E552AC">
      <w:pPr>
        <w:spacing w:line="360" w:lineRule="auto"/>
        <w:divId w:val="510485473"/>
        <w:rPr>
          <w:rFonts w:ascii="Times New Roman" w:hAnsi="Times New Roman" w:cs="Times New Roman"/>
        </w:rPr>
      </w:pPr>
      <w:r w:rsidRPr="004D1437">
        <w:rPr>
          <w:rFonts w:hint="eastAsia"/>
        </w:rPr>
        <w:t>     3、同意专家老师的意见。</w:t>
      </w:r>
      <w:r w:rsidR="00772309" w:rsidRPr="004D1437">
        <w:rPr>
          <w:rFonts w:hint="eastAsia"/>
        </w:rPr>
        <w:t>已经将文献：</w:t>
      </w:r>
      <w:proofErr w:type="gramStart"/>
      <w:r w:rsidR="00772309" w:rsidRPr="004D1437">
        <w:rPr>
          <w:rFonts w:ascii="Times New Roman" w:hAnsi="Times New Roman" w:cs="Times New Roman"/>
        </w:rPr>
        <w:t>Khan, M. T., S. I. Malik, et al. (2018).</w:t>
      </w:r>
      <w:proofErr w:type="gramEnd"/>
      <w:r w:rsidR="00772309" w:rsidRPr="004D1437">
        <w:rPr>
          <w:rFonts w:ascii="Times New Roman" w:hAnsi="Times New Roman" w:cs="Times New Roman"/>
        </w:rPr>
        <w:t xml:space="preserve"> </w:t>
      </w:r>
      <w:proofErr w:type="gramStart"/>
      <w:r w:rsidR="00772309" w:rsidRPr="004D1437">
        <w:rPr>
          <w:rFonts w:ascii="Times New Roman" w:hAnsi="Times New Roman" w:cs="Times New Roman"/>
        </w:rPr>
        <w:t xml:space="preserve">"Prevalence of Pyrazinamide Resistance in Khyber </w:t>
      </w:r>
      <w:proofErr w:type="spellStart"/>
      <w:r w:rsidR="00772309" w:rsidRPr="004D1437">
        <w:rPr>
          <w:rFonts w:ascii="Times New Roman" w:hAnsi="Times New Roman" w:cs="Times New Roman"/>
        </w:rPr>
        <w:t>Pakhtunkhwa</w:t>
      </w:r>
      <w:proofErr w:type="spellEnd"/>
      <w:r w:rsidR="00772309" w:rsidRPr="004D1437">
        <w:rPr>
          <w:rFonts w:ascii="Times New Roman" w:hAnsi="Times New Roman" w:cs="Times New Roman"/>
        </w:rPr>
        <w:t>, Pakistan."</w:t>
      </w:r>
      <w:proofErr w:type="gramEnd"/>
      <w:r w:rsidR="00772309" w:rsidRPr="004D1437">
        <w:rPr>
          <w:rFonts w:ascii="Times New Roman" w:hAnsi="Times New Roman" w:cs="Times New Roman"/>
        </w:rPr>
        <w:t xml:space="preserve"> </w:t>
      </w:r>
      <w:proofErr w:type="spellStart"/>
      <w:r w:rsidR="00772309" w:rsidRPr="004D1437">
        <w:rPr>
          <w:rFonts w:ascii="Times New Roman" w:hAnsi="Times New Roman" w:cs="Times New Roman"/>
        </w:rPr>
        <w:t>Microb</w:t>
      </w:r>
      <w:proofErr w:type="spellEnd"/>
      <w:r w:rsidR="00772309" w:rsidRPr="004D1437">
        <w:rPr>
          <w:rFonts w:ascii="Times New Roman" w:hAnsi="Times New Roman" w:cs="Times New Roman"/>
        </w:rPr>
        <w:t xml:space="preserve"> Drug Resist 24(9): 1417-1421</w:t>
      </w:r>
      <w:r w:rsidR="00772309" w:rsidRPr="004D1437">
        <w:rPr>
          <w:rFonts w:ascii="Times New Roman" w:hAnsi="Times New Roman" w:cs="Times New Roman" w:hint="eastAsia"/>
        </w:rPr>
        <w:t>；</w:t>
      </w:r>
      <w:proofErr w:type="spellStart"/>
      <w:proofErr w:type="gramStart"/>
      <w:r w:rsidR="00772309" w:rsidRPr="004D1437">
        <w:rPr>
          <w:rFonts w:ascii="Times New Roman" w:hAnsi="Times New Roman" w:cs="Times New Roman"/>
        </w:rPr>
        <w:t>Gu</w:t>
      </w:r>
      <w:proofErr w:type="spellEnd"/>
      <w:proofErr w:type="gramEnd"/>
      <w:r w:rsidR="00772309" w:rsidRPr="004D1437">
        <w:rPr>
          <w:rFonts w:ascii="Times New Roman" w:hAnsi="Times New Roman" w:cs="Times New Roman"/>
        </w:rPr>
        <w:t xml:space="preserve">, Y., X. Yu, et al. (2016). "Pyrazinamide resistance among multidrug-resistant tuberculosis clinical isolates in a national referral center of China and its correlations with </w:t>
      </w:r>
      <w:proofErr w:type="spellStart"/>
      <w:r w:rsidR="00772309" w:rsidRPr="004D1437">
        <w:rPr>
          <w:rFonts w:ascii="Times New Roman" w:hAnsi="Times New Roman" w:cs="Times New Roman"/>
        </w:rPr>
        <w:t>pncA</w:t>
      </w:r>
      <w:proofErr w:type="spellEnd"/>
      <w:r w:rsidR="00772309" w:rsidRPr="004D1437">
        <w:rPr>
          <w:rFonts w:ascii="Times New Roman" w:hAnsi="Times New Roman" w:cs="Times New Roman"/>
        </w:rPr>
        <w:t xml:space="preserve">, </w:t>
      </w:r>
      <w:proofErr w:type="spellStart"/>
      <w:r w:rsidR="00772309" w:rsidRPr="004D1437">
        <w:rPr>
          <w:rFonts w:ascii="Times New Roman" w:hAnsi="Times New Roman" w:cs="Times New Roman"/>
        </w:rPr>
        <w:t>rpsA</w:t>
      </w:r>
      <w:proofErr w:type="spellEnd"/>
      <w:r w:rsidR="00772309" w:rsidRPr="004D1437">
        <w:rPr>
          <w:rFonts w:ascii="Times New Roman" w:hAnsi="Times New Roman" w:cs="Times New Roman"/>
        </w:rPr>
        <w:t xml:space="preserve">, and </w:t>
      </w:r>
      <w:proofErr w:type="spellStart"/>
      <w:r w:rsidR="00772309" w:rsidRPr="004D1437">
        <w:rPr>
          <w:rFonts w:ascii="Times New Roman" w:hAnsi="Times New Roman" w:cs="Times New Roman"/>
        </w:rPr>
        <w:t>panD</w:t>
      </w:r>
      <w:proofErr w:type="spellEnd"/>
      <w:r w:rsidR="00772309" w:rsidRPr="004D1437">
        <w:rPr>
          <w:rFonts w:ascii="Times New Roman" w:hAnsi="Times New Roman" w:cs="Times New Roman"/>
        </w:rPr>
        <w:t xml:space="preserve"> gene mutations." </w:t>
      </w:r>
      <w:proofErr w:type="spellStart"/>
      <w:r w:rsidR="00772309" w:rsidRPr="004D1437">
        <w:rPr>
          <w:rFonts w:ascii="Times New Roman" w:hAnsi="Times New Roman" w:cs="Times New Roman"/>
        </w:rPr>
        <w:t>Diagn</w:t>
      </w:r>
      <w:proofErr w:type="spellEnd"/>
      <w:r w:rsidR="00772309" w:rsidRPr="004D1437">
        <w:rPr>
          <w:rFonts w:ascii="Times New Roman" w:hAnsi="Times New Roman" w:cs="Times New Roman"/>
        </w:rPr>
        <w:t xml:space="preserve"> </w:t>
      </w:r>
      <w:proofErr w:type="spellStart"/>
      <w:r w:rsidR="00772309" w:rsidRPr="004D1437">
        <w:rPr>
          <w:rFonts w:ascii="Times New Roman" w:hAnsi="Times New Roman" w:cs="Times New Roman"/>
        </w:rPr>
        <w:t>Microbiol</w:t>
      </w:r>
      <w:proofErr w:type="spellEnd"/>
      <w:r w:rsidR="00772309" w:rsidRPr="004D1437">
        <w:rPr>
          <w:rFonts w:ascii="Times New Roman" w:hAnsi="Times New Roman" w:cs="Times New Roman"/>
        </w:rPr>
        <w:t xml:space="preserve"> Infect Dis 84(3): 207-211</w:t>
      </w:r>
      <w:r w:rsidR="00772309" w:rsidRPr="004D1437">
        <w:rPr>
          <w:rFonts w:ascii="Times New Roman" w:hAnsi="Times New Roman" w:cs="Times New Roman" w:hint="eastAsia"/>
        </w:rPr>
        <w:t>.</w:t>
      </w:r>
      <w:r w:rsidR="00772309" w:rsidRPr="004D1437">
        <w:rPr>
          <w:rFonts w:ascii="Times New Roman" w:hAnsi="Times New Roman" w:cs="Times New Roman" w:hint="eastAsia"/>
        </w:rPr>
        <w:t>作为参考文献进行了引用。</w:t>
      </w:r>
    </w:p>
    <w:p w:rsidR="00772309" w:rsidRPr="004D1437" w:rsidRDefault="00772309">
      <w:pPr>
        <w:spacing w:line="360" w:lineRule="auto"/>
        <w:divId w:val="510485473"/>
      </w:pPr>
      <w:r w:rsidRPr="004D1437">
        <w:rPr>
          <w:rFonts w:ascii="Times New Roman" w:hAnsi="Times New Roman" w:cs="Times New Roman" w:hint="eastAsia"/>
        </w:rPr>
        <w:lastRenderedPageBreak/>
        <w:t xml:space="preserve">            4</w:t>
      </w:r>
      <w:r w:rsidRPr="004D1437">
        <w:rPr>
          <w:rFonts w:ascii="Times New Roman" w:hAnsi="Times New Roman" w:cs="Times New Roman" w:hint="eastAsia"/>
        </w:rPr>
        <w:t>、</w:t>
      </w:r>
      <w:r w:rsidRPr="004D1437">
        <w:rPr>
          <w:rFonts w:hint="eastAsia"/>
        </w:rPr>
        <w:t>同意专家老师的意见。已经将前言部分相关内容改为“</w:t>
      </w:r>
      <w:proofErr w:type="gramStart"/>
      <w:r w:rsidRPr="004D1437">
        <w:rPr>
          <w:rFonts w:ascii="Times New Roman" w:cs="Times New Roman" w:hint="eastAsia"/>
        </w:rPr>
        <w:t>吡嗪</w:t>
      </w:r>
      <w:proofErr w:type="gramEnd"/>
      <w:r w:rsidRPr="004D1437">
        <w:rPr>
          <w:rFonts w:ascii="Times New Roman" w:cs="Times New Roman" w:hint="eastAsia"/>
        </w:rPr>
        <w:t>酰胺（</w:t>
      </w:r>
      <w:r w:rsidRPr="004D1437">
        <w:rPr>
          <w:rFonts w:ascii="Times New Roman" w:hAnsi="Times New Roman" w:cs="Times New Roman"/>
        </w:rPr>
        <w:t>pyrazinamide</w:t>
      </w:r>
      <w:r w:rsidRPr="004D1437">
        <w:rPr>
          <w:rFonts w:ascii="Times New Roman" w:cs="Times New Roman" w:hint="eastAsia"/>
        </w:rPr>
        <w:t>，</w:t>
      </w:r>
      <w:r w:rsidRPr="004D1437">
        <w:rPr>
          <w:rFonts w:ascii="Times New Roman" w:hAnsi="Times New Roman" w:cs="Times New Roman"/>
        </w:rPr>
        <w:t>PZA</w:t>
      </w:r>
      <w:r w:rsidRPr="004D1437">
        <w:rPr>
          <w:rFonts w:ascii="Times New Roman" w:cs="Times New Roman" w:hint="eastAsia"/>
        </w:rPr>
        <w:t>）作为重要的抗结核药物能将普通肺结核</w:t>
      </w:r>
      <w:r w:rsidRPr="004D1437">
        <w:rPr>
          <w:rFonts w:ascii="Times New Roman" w:hAnsi="Times New Roman" w:cs="Times New Roman"/>
        </w:rPr>
        <w:t>9~12</w:t>
      </w:r>
      <w:r w:rsidRPr="004D1437">
        <w:rPr>
          <w:rFonts w:ascii="Times New Roman" w:cs="Times New Roman" w:hint="eastAsia"/>
        </w:rPr>
        <w:t>个月的短程化疗疗程缩短至</w:t>
      </w:r>
      <w:r w:rsidRPr="004D1437">
        <w:rPr>
          <w:rFonts w:ascii="Times New Roman" w:hAnsi="Times New Roman" w:cs="Times New Roman"/>
        </w:rPr>
        <w:t>6</w:t>
      </w:r>
      <w:r w:rsidRPr="004D1437">
        <w:rPr>
          <w:rFonts w:ascii="Times New Roman" w:cs="Times New Roman" w:hint="eastAsia"/>
        </w:rPr>
        <w:t>个月</w:t>
      </w:r>
      <w:r w:rsidRPr="004D1437">
        <w:rPr>
          <w:rFonts w:ascii="Times New Roman" w:hAnsi="Times New Roman" w:cs="Times New Roman"/>
        </w:rPr>
        <w:t>”</w:t>
      </w:r>
      <w:r w:rsidRPr="004D1437">
        <w:rPr>
          <w:rFonts w:ascii="Times New Roman" w:cs="Times New Roman" w:hint="eastAsia"/>
        </w:rPr>
        <w:t>和</w:t>
      </w:r>
      <w:r w:rsidRPr="004D1437">
        <w:rPr>
          <w:rFonts w:ascii="Times New Roman" w:hAnsi="Times New Roman" w:cs="Times New Roman"/>
        </w:rPr>
        <w:t>“</w:t>
      </w:r>
      <w:r w:rsidRPr="004D1437">
        <w:rPr>
          <w:rFonts w:ascii="Times New Roman" w:cs="Times New Roman" w:hint="eastAsia"/>
        </w:rPr>
        <w:t>且有研究显示</w:t>
      </w:r>
      <w:r w:rsidRPr="004D1437">
        <w:rPr>
          <w:rFonts w:ascii="Times New Roman" w:hAnsi="Times New Roman" w:cs="Times New Roman"/>
        </w:rPr>
        <w:t>PZA</w:t>
      </w:r>
      <w:r w:rsidRPr="004D1437">
        <w:rPr>
          <w:rFonts w:ascii="Times New Roman" w:cs="Times New Roman" w:hint="eastAsia"/>
        </w:rPr>
        <w:t>结合氟</w:t>
      </w:r>
      <w:proofErr w:type="gramStart"/>
      <w:r w:rsidRPr="004D1437">
        <w:rPr>
          <w:rFonts w:ascii="Times New Roman" w:cs="Times New Roman" w:hint="eastAsia"/>
        </w:rPr>
        <w:t>喹</w:t>
      </w:r>
      <w:proofErr w:type="gramEnd"/>
      <w:r w:rsidRPr="004D1437">
        <w:rPr>
          <w:rFonts w:ascii="Times New Roman" w:cs="Times New Roman" w:hint="eastAsia"/>
        </w:rPr>
        <w:t>诺酮类、贝达喹啉等药物的联合抗结核方案能提升耐药肺结核疗效且缩短疗程</w:t>
      </w:r>
      <w:r w:rsidRPr="004D1437">
        <w:rPr>
          <w:rFonts w:hint="eastAsia"/>
        </w:rPr>
        <w:t>”</w:t>
      </w:r>
    </w:p>
    <w:p w:rsidR="00337A45" w:rsidRPr="004D1437" w:rsidRDefault="00E552AC">
      <w:pPr>
        <w:spacing w:line="360" w:lineRule="auto"/>
        <w:divId w:val="1935047038"/>
      </w:pPr>
      <w:r w:rsidRPr="004D1437">
        <w:rPr>
          <w:rFonts w:hint="eastAsia"/>
        </w:rPr>
        <w:t>  </w:t>
      </w:r>
    </w:p>
    <w:p w:rsidR="00337A45" w:rsidRPr="004D1437" w:rsidRDefault="00E552AC">
      <w:pPr>
        <w:spacing w:line="360" w:lineRule="auto"/>
        <w:divId w:val="2084445803"/>
      </w:pPr>
      <w:r w:rsidRPr="004D1437">
        <w:rPr>
          <w:rFonts w:hint="eastAsia"/>
        </w:rPr>
        <w:t>——</w:t>
      </w:r>
      <w:proofErr w:type="gramStart"/>
      <w:r w:rsidRPr="004D1437">
        <w:rPr>
          <w:rFonts w:hint="eastAsia"/>
        </w:rPr>
        <w:t>————————————</w:t>
      </w:r>
      <w:proofErr w:type="gramEnd"/>
      <w:r w:rsidRPr="004D1437">
        <w:rPr>
          <w:rStyle w:val="a5"/>
          <w:rFonts w:hint="eastAsia"/>
        </w:rPr>
        <w:t>复审专家意见与作者修改说明</w:t>
      </w:r>
      <w:r w:rsidRPr="004D1437">
        <w:rPr>
          <w:rFonts w:hint="eastAsia"/>
        </w:rPr>
        <w:t>——</w:t>
      </w:r>
      <w:proofErr w:type="gramStart"/>
      <w:r w:rsidRPr="004D1437">
        <w:rPr>
          <w:rFonts w:hint="eastAsia"/>
        </w:rPr>
        <w:t>———————————</w:t>
      </w:r>
      <w:proofErr w:type="gramEnd"/>
    </w:p>
    <w:p w:rsidR="00337A45" w:rsidRPr="004D1437" w:rsidRDefault="00E552AC">
      <w:pPr>
        <w:spacing w:line="360" w:lineRule="auto"/>
        <w:divId w:val="1905918033"/>
      </w:pPr>
      <w:r w:rsidRPr="004D1437">
        <w:rPr>
          <w:rFonts w:hint="eastAsia"/>
        </w:rPr>
        <w:t>专家意见：</w:t>
      </w:r>
    </w:p>
    <w:p w:rsidR="00337A45" w:rsidRPr="004D1437" w:rsidRDefault="00E552AC" w:rsidP="004D1437">
      <w:pPr>
        <w:spacing w:line="360" w:lineRule="auto"/>
        <w:divId w:val="781656982"/>
      </w:pPr>
      <w:r w:rsidRPr="004D1437">
        <w:rPr>
          <w:rFonts w:hint="eastAsia"/>
        </w:rPr>
        <w:t> </w:t>
      </w:r>
      <w:r w:rsidR="004D1437" w:rsidRPr="004D1437">
        <w:rPr>
          <w:rFonts w:hint="eastAsia"/>
        </w:rPr>
        <w:t>本文针对宁波地区</w:t>
      </w:r>
      <w:proofErr w:type="gramStart"/>
      <w:r w:rsidR="004D1437" w:rsidRPr="004D1437">
        <w:rPr>
          <w:rFonts w:hint="eastAsia"/>
        </w:rPr>
        <w:t>吡嗪</w:t>
      </w:r>
      <w:proofErr w:type="gramEnd"/>
      <w:r w:rsidR="004D1437" w:rsidRPr="004D1437">
        <w:rPr>
          <w:rFonts w:hint="eastAsia"/>
        </w:rPr>
        <w:t>酰胺的耐药特征及与其他二线抗结核药物的耐药关系进行了研究，对地区性菌株的数据积累有一定的意义。作者已针对初审意见进行了修改。审稿人没有其他修改意见，建议发表</w:t>
      </w:r>
      <w:r w:rsidR="004D1437">
        <w:rPr>
          <w:rFonts w:hint="eastAsia"/>
        </w:rPr>
        <w:t>.</w:t>
      </w:r>
    </w:p>
    <w:p w:rsidR="00337A45" w:rsidRPr="004D1437" w:rsidRDefault="00E552AC">
      <w:pPr>
        <w:spacing w:line="360" w:lineRule="auto"/>
        <w:divId w:val="585501385"/>
      </w:pPr>
      <w:r w:rsidRPr="004D1437">
        <w:rPr>
          <w:rFonts w:hint="eastAsia"/>
        </w:rPr>
        <w:t> </w:t>
      </w:r>
    </w:p>
    <w:p w:rsidR="00337A45" w:rsidRPr="004D1437" w:rsidRDefault="00E552AC">
      <w:pPr>
        <w:spacing w:line="360" w:lineRule="auto"/>
        <w:divId w:val="1270620300"/>
      </w:pPr>
      <w:r w:rsidRPr="004D1437">
        <w:rPr>
          <w:rFonts w:hint="eastAsia"/>
        </w:rPr>
        <w:t> </w:t>
      </w:r>
    </w:p>
    <w:p w:rsidR="00337A45" w:rsidRPr="004D1437" w:rsidRDefault="00E552AC">
      <w:pPr>
        <w:spacing w:line="360" w:lineRule="auto"/>
        <w:divId w:val="934367827"/>
      </w:pPr>
      <w:r w:rsidRPr="004D1437">
        <w:rPr>
          <w:rFonts w:hint="eastAsia"/>
        </w:rPr>
        <w:t> </w:t>
      </w:r>
    </w:p>
    <w:p w:rsidR="00E552AC" w:rsidRPr="004D1437" w:rsidRDefault="00E552AC">
      <w:pPr>
        <w:spacing w:line="360" w:lineRule="auto"/>
        <w:divId w:val="1674382796"/>
      </w:pPr>
      <w:r w:rsidRPr="004D1437">
        <w:rPr>
          <w:rFonts w:hint="eastAsia"/>
        </w:rPr>
        <w:t> </w:t>
      </w:r>
    </w:p>
    <w:sectPr w:rsidR="00E552AC" w:rsidRPr="004D1437" w:rsidSect="004D1437">
      <w:pgSz w:w="11906" w:h="16838"/>
      <w:pgMar w:top="1134" w:right="1134" w:bottom="1134" w:left="1134" w:header="851" w:footer="992"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F84" w:rsidRDefault="00084F84" w:rsidP="00835AC3">
      <w:r>
        <w:separator/>
      </w:r>
    </w:p>
  </w:endnote>
  <w:endnote w:type="continuationSeparator" w:id="0">
    <w:p w:rsidR="00084F84" w:rsidRDefault="00084F84" w:rsidP="00835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F84" w:rsidRDefault="00084F84" w:rsidP="00835AC3">
      <w:r>
        <w:separator/>
      </w:r>
    </w:p>
  </w:footnote>
  <w:footnote w:type="continuationSeparator" w:id="0">
    <w:p w:rsidR="00084F84" w:rsidRDefault="00084F84" w:rsidP="00835A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AC3"/>
    <w:rsid w:val="00084F84"/>
    <w:rsid w:val="00337A45"/>
    <w:rsid w:val="004D1437"/>
    <w:rsid w:val="004F5706"/>
    <w:rsid w:val="00772309"/>
    <w:rsid w:val="00835AC3"/>
    <w:rsid w:val="00E552AC"/>
    <w:rsid w:val="00E7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A45"/>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37A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337A45"/>
    <w:rPr>
      <w:rFonts w:ascii="宋体" w:eastAsia="宋体" w:hAnsi="宋体" w:cs="宋体" w:hint="eastAsia"/>
      <w:sz w:val="18"/>
      <w:szCs w:val="18"/>
    </w:rPr>
  </w:style>
  <w:style w:type="paragraph" w:styleId="a4">
    <w:name w:val="footer"/>
    <w:basedOn w:val="a"/>
    <w:link w:val="Char0"/>
    <w:uiPriority w:val="99"/>
    <w:semiHidden/>
    <w:unhideWhenUsed/>
    <w:rsid w:val="00337A45"/>
    <w:pPr>
      <w:tabs>
        <w:tab w:val="center" w:pos="4153"/>
        <w:tab w:val="right" w:pos="8306"/>
      </w:tabs>
      <w:snapToGrid w:val="0"/>
    </w:pPr>
    <w:rPr>
      <w:sz w:val="18"/>
      <w:szCs w:val="18"/>
    </w:rPr>
  </w:style>
  <w:style w:type="character" w:customStyle="1" w:styleId="Char0">
    <w:name w:val="页脚 Char"/>
    <w:basedOn w:val="a0"/>
    <w:link w:val="a4"/>
    <w:uiPriority w:val="99"/>
    <w:semiHidden/>
    <w:locked/>
    <w:rsid w:val="00337A45"/>
    <w:rPr>
      <w:rFonts w:ascii="宋体" w:eastAsia="宋体" w:hAnsi="宋体" w:cs="宋体" w:hint="eastAsia"/>
      <w:sz w:val="18"/>
      <w:szCs w:val="18"/>
    </w:rPr>
  </w:style>
  <w:style w:type="character" w:styleId="a5">
    <w:name w:val="Strong"/>
    <w:basedOn w:val="a0"/>
    <w:uiPriority w:val="22"/>
    <w:qFormat/>
    <w:rsid w:val="00337A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A45"/>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37A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337A45"/>
    <w:rPr>
      <w:rFonts w:ascii="宋体" w:eastAsia="宋体" w:hAnsi="宋体" w:cs="宋体" w:hint="eastAsia"/>
      <w:sz w:val="18"/>
      <w:szCs w:val="18"/>
    </w:rPr>
  </w:style>
  <w:style w:type="paragraph" w:styleId="a4">
    <w:name w:val="footer"/>
    <w:basedOn w:val="a"/>
    <w:link w:val="Char0"/>
    <w:uiPriority w:val="99"/>
    <w:semiHidden/>
    <w:unhideWhenUsed/>
    <w:rsid w:val="00337A45"/>
    <w:pPr>
      <w:tabs>
        <w:tab w:val="center" w:pos="4153"/>
        <w:tab w:val="right" w:pos="8306"/>
      </w:tabs>
      <w:snapToGrid w:val="0"/>
    </w:pPr>
    <w:rPr>
      <w:sz w:val="18"/>
      <w:szCs w:val="18"/>
    </w:rPr>
  </w:style>
  <w:style w:type="character" w:customStyle="1" w:styleId="Char0">
    <w:name w:val="页脚 Char"/>
    <w:basedOn w:val="a0"/>
    <w:link w:val="a4"/>
    <w:uiPriority w:val="99"/>
    <w:semiHidden/>
    <w:locked/>
    <w:rsid w:val="00337A45"/>
    <w:rPr>
      <w:rFonts w:ascii="宋体" w:eastAsia="宋体" w:hAnsi="宋体" w:cs="宋体" w:hint="eastAsia"/>
      <w:sz w:val="18"/>
      <w:szCs w:val="18"/>
    </w:rPr>
  </w:style>
  <w:style w:type="character" w:styleId="a5">
    <w:name w:val="Strong"/>
    <w:basedOn w:val="a0"/>
    <w:uiPriority w:val="22"/>
    <w:qFormat/>
    <w:rsid w:val="00337A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014343">
      <w:marLeft w:val="0"/>
      <w:marRight w:val="0"/>
      <w:marTop w:val="0"/>
      <w:marBottom w:val="0"/>
      <w:divBdr>
        <w:top w:val="none" w:sz="0" w:space="0" w:color="auto"/>
        <w:left w:val="none" w:sz="0" w:space="0" w:color="auto"/>
        <w:bottom w:val="none" w:sz="0" w:space="0" w:color="auto"/>
        <w:right w:val="none" w:sz="0" w:space="0" w:color="auto"/>
      </w:divBdr>
      <w:divsChild>
        <w:div w:id="1469396162">
          <w:marLeft w:val="0"/>
          <w:marRight w:val="0"/>
          <w:marTop w:val="0"/>
          <w:marBottom w:val="0"/>
          <w:divBdr>
            <w:top w:val="none" w:sz="0" w:space="0" w:color="auto"/>
            <w:left w:val="none" w:sz="0" w:space="0" w:color="auto"/>
            <w:bottom w:val="none" w:sz="0" w:space="0" w:color="auto"/>
            <w:right w:val="none" w:sz="0" w:space="0" w:color="auto"/>
          </w:divBdr>
        </w:div>
        <w:div w:id="299655551">
          <w:marLeft w:val="0"/>
          <w:marRight w:val="0"/>
          <w:marTop w:val="0"/>
          <w:marBottom w:val="0"/>
          <w:divBdr>
            <w:top w:val="none" w:sz="0" w:space="0" w:color="auto"/>
            <w:left w:val="none" w:sz="0" w:space="0" w:color="auto"/>
            <w:bottom w:val="none" w:sz="0" w:space="0" w:color="auto"/>
            <w:right w:val="none" w:sz="0" w:space="0" w:color="auto"/>
          </w:divBdr>
        </w:div>
        <w:div w:id="1707023163">
          <w:marLeft w:val="0"/>
          <w:marRight w:val="0"/>
          <w:marTop w:val="0"/>
          <w:marBottom w:val="0"/>
          <w:divBdr>
            <w:top w:val="none" w:sz="0" w:space="0" w:color="auto"/>
            <w:left w:val="none" w:sz="0" w:space="0" w:color="auto"/>
            <w:bottom w:val="none" w:sz="0" w:space="0" w:color="auto"/>
            <w:right w:val="none" w:sz="0" w:space="0" w:color="auto"/>
          </w:divBdr>
        </w:div>
        <w:div w:id="1015771528">
          <w:marLeft w:val="0"/>
          <w:marRight w:val="0"/>
          <w:marTop w:val="0"/>
          <w:marBottom w:val="0"/>
          <w:divBdr>
            <w:top w:val="none" w:sz="0" w:space="0" w:color="auto"/>
            <w:left w:val="none" w:sz="0" w:space="0" w:color="auto"/>
            <w:bottom w:val="none" w:sz="0" w:space="0" w:color="auto"/>
            <w:right w:val="none" w:sz="0" w:space="0" w:color="auto"/>
          </w:divBdr>
        </w:div>
        <w:div w:id="685134919">
          <w:marLeft w:val="0"/>
          <w:marRight w:val="0"/>
          <w:marTop w:val="0"/>
          <w:marBottom w:val="0"/>
          <w:divBdr>
            <w:top w:val="none" w:sz="0" w:space="0" w:color="auto"/>
            <w:left w:val="none" w:sz="0" w:space="0" w:color="auto"/>
            <w:bottom w:val="none" w:sz="0" w:space="0" w:color="auto"/>
            <w:right w:val="none" w:sz="0" w:space="0" w:color="auto"/>
          </w:divBdr>
        </w:div>
        <w:div w:id="1299187576">
          <w:marLeft w:val="0"/>
          <w:marRight w:val="0"/>
          <w:marTop w:val="0"/>
          <w:marBottom w:val="0"/>
          <w:divBdr>
            <w:top w:val="none" w:sz="0" w:space="0" w:color="auto"/>
            <w:left w:val="none" w:sz="0" w:space="0" w:color="auto"/>
            <w:bottom w:val="none" w:sz="0" w:space="0" w:color="auto"/>
            <w:right w:val="none" w:sz="0" w:space="0" w:color="auto"/>
          </w:divBdr>
        </w:div>
        <w:div w:id="510485473">
          <w:marLeft w:val="0"/>
          <w:marRight w:val="0"/>
          <w:marTop w:val="0"/>
          <w:marBottom w:val="0"/>
          <w:divBdr>
            <w:top w:val="none" w:sz="0" w:space="0" w:color="auto"/>
            <w:left w:val="none" w:sz="0" w:space="0" w:color="auto"/>
            <w:bottom w:val="none" w:sz="0" w:space="0" w:color="auto"/>
            <w:right w:val="none" w:sz="0" w:space="0" w:color="auto"/>
          </w:divBdr>
        </w:div>
        <w:div w:id="1310481331">
          <w:marLeft w:val="0"/>
          <w:marRight w:val="0"/>
          <w:marTop w:val="0"/>
          <w:marBottom w:val="0"/>
          <w:divBdr>
            <w:top w:val="none" w:sz="0" w:space="0" w:color="auto"/>
            <w:left w:val="none" w:sz="0" w:space="0" w:color="auto"/>
            <w:bottom w:val="none" w:sz="0" w:space="0" w:color="auto"/>
            <w:right w:val="none" w:sz="0" w:space="0" w:color="auto"/>
          </w:divBdr>
        </w:div>
        <w:div w:id="1935047038">
          <w:marLeft w:val="0"/>
          <w:marRight w:val="0"/>
          <w:marTop w:val="0"/>
          <w:marBottom w:val="0"/>
          <w:divBdr>
            <w:top w:val="none" w:sz="0" w:space="0" w:color="auto"/>
            <w:left w:val="none" w:sz="0" w:space="0" w:color="auto"/>
            <w:bottom w:val="none" w:sz="0" w:space="0" w:color="auto"/>
            <w:right w:val="none" w:sz="0" w:space="0" w:color="auto"/>
          </w:divBdr>
        </w:div>
        <w:div w:id="2084445803">
          <w:marLeft w:val="0"/>
          <w:marRight w:val="0"/>
          <w:marTop w:val="0"/>
          <w:marBottom w:val="0"/>
          <w:divBdr>
            <w:top w:val="none" w:sz="0" w:space="0" w:color="auto"/>
            <w:left w:val="none" w:sz="0" w:space="0" w:color="auto"/>
            <w:bottom w:val="none" w:sz="0" w:space="0" w:color="auto"/>
            <w:right w:val="none" w:sz="0" w:space="0" w:color="auto"/>
          </w:divBdr>
        </w:div>
        <w:div w:id="1905918033">
          <w:marLeft w:val="0"/>
          <w:marRight w:val="0"/>
          <w:marTop w:val="0"/>
          <w:marBottom w:val="0"/>
          <w:divBdr>
            <w:top w:val="none" w:sz="0" w:space="0" w:color="auto"/>
            <w:left w:val="none" w:sz="0" w:space="0" w:color="auto"/>
            <w:bottom w:val="none" w:sz="0" w:space="0" w:color="auto"/>
            <w:right w:val="none" w:sz="0" w:space="0" w:color="auto"/>
          </w:divBdr>
        </w:div>
        <w:div w:id="781656982">
          <w:marLeft w:val="0"/>
          <w:marRight w:val="0"/>
          <w:marTop w:val="0"/>
          <w:marBottom w:val="0"/>
          <w:divBdr>
            <w:top w:val="none" w:sz="0" w:space="0" w:color="auto"/>
            <w:left w:val="none" w:sz="0" w:space="0" w:color="auto"/>
            <w:bottom w:val="none" w:sz="0" w:space="0" w:color="auto"/>
            <w:right w:val="none" w:sz="0" w:space="0" w:color="auto"/>
          </w:divBdr>
          <w:divsChild>
            <w:div w:id="1000699784">
              <w:marLeft w:val="0"/>
              <w:marRight w:val="0"/>
              <w:marTop w:val="0"/>
              <w:marBottom w:val="0"/>
              <w:divBdr>
                <w:top w:val="none" w:sz="0" w:space="0" w:color="auto"/>
                <w:left w:val="none" w:sz="0" w:space="0" w:color="auto"/>
                <w:bottom w:val="none" w:sz="0" w:space="0" w:color="auto"/>
                <w:right w:val="none" w:sz="0" w:space="0" w:color="auto"/>
              </w:divBdr>
              <w:divsChild>
                <w:div w:id="5161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3321">
          <w:marLeft w:val="0"/>
          <w:marRight w:val="0"/>
          <w:marTop w:val="0"/>
          <w:marBottom w:val="0"/>
          <w:divBdr>
            <w:top w:val="none" w:sz="0" w:space="0" w:color="auto"/>
            <w:left w:val="none" w:sz="0" w:space="0" w:color="auto"/>
            <w:bottom w:val="none" w:sz="0" w:space="0" w:color="auto"/>
            <w:right w:val="none" w:sz="0" w:space="0" w:color="auto"/>
          </w:divBdr>
        </w:div>
        <w:div w:id="77142883">
          <w:marLeft w:val="0"/>
          <w:marRight w:val="0"/>
          <w:marTop w:val="0"/>
          <w:marBottom w:val="0"/>
          <w:divBdr>
            <w:top w:val="none" w:sz="0" w:space="0" w:color="auto"/>
            <w:left w:val="none" w:sz="0" w:space="0" w:color="auto"/>
            <w:bottom w:val="none" w:sz="0" w:space="0" w:color="auto"/>
            <w:right w:val="none" w:sz="0" w:space="0" w:color="auto"/>
          </w:divBdr>
        </w:div>
        <w:div w:id="585501385">
          <w:marLeft w:val="0"/>
          <w:marRight w:val="0"/>
          <w:marTop w:val="0"/>
          <w:marBottom w:val="0"/>
          <w:divBdr>
            <w:top w:val="none" w:sz="0" w:space="0" w:color="auto"/>
            <w:left w:val="none" w:sz="0" w:space="0" w:color="auto"/>
            <w:bottom w:val="none" w:sz="0" w:space="0" w:color="auto"/>
            <w:right w:val="none" w:sz="0" w:space="0" w:color="auto"/>
          </w:divBdr>
        </w:div>
        <w:div w:id="1270620300">
          <w:marLeft w:val="0"/>
          <w:marRight w:val="0"/>
          <w:marTop w:val="0"/>
          <w:marBottom w:val="0"/>
          <w:divBdr>
            <w:top w:val="none" w:sz="0" w:space="0" w:color="auto"/>
            <w:left w:val="none" w:sz="0" w:space="0" w:color="auto"/>
            <w:bottom w:val="none" w:sz="0" w:space="0" w:color="auto"/>
            <w:right w:val="none" w:sz="0" w:space="0" w:color="auto"/>
          </w:divBdr>
        </w:div>
        <w:div w:id="934367827">
          <w:marLeft w:val="0"/>
          <w:marRight w:val="0"/>
          <w:marTop w:val="0"/>
          <w:marBottom w:val="0"/>
          <w:divBdr>
            <w:top w:val="none" w:sz="0" w:space="0" w:color="auto"/>
            <w:left w:val="none" w:sz="0" w:space="0" w:color="auto"/>
            <w:bottom w:val="none" w:sz="0" w:space="0" w:color="auto"/>
            <w:right w:val="none" w:sz="0" w:space="0" w:color="auto"/>
          </w:divBdr>
        </w:div>
        <w:div w:id="1674382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953</Words>
  <Characters>1004</Characters>
  <Application>Microsoft Office Word</Application>
  <DocSecurity>0</DocSecurity>
  <Lines>8</Lines>
  <Paragraphs>3</Paragraphs>
  <ScaleCrop>false</ScaleCrop>
  <Company/>
  <LinksUpToDate>false</LinksUpToDate>
  <CharactersWithSpaces>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车洋</dc:creator>
  <cp:lastModifiedBy>cfs-005</cp:lastModifiedBy>
  <cp:revision>2</cp:revision>
  <dcterms:created xsi:type="dcterms:W3CDTF">2020-04-20T03:49:00Z</dcterms:created>
  <dcterms:modified xsi:type="dcterms:W3CDTF">2020-04-20T03:49:00Z</dcterms:modified>
</cp:coreProperties>
</file>