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2019-0027</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意见：</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本文选材较好，方法合理，数据可靠。其结果对实际工作有一定的指导意义。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请补充本文调查对象的时间区间，另，讨论部分过多重复结果，应压缩简化文字。并准确引用文献。具体见文中标注。建议今后多收集关资料，进行HIV-1基因亚型与时间及传播特征的关系比较，会更有意义。</w:t>
      </w:r>
    </w:p>
    <w:p>
      <w:pPr>
        <w:keepNext w:val="0"/>
        <w:keepLines w:val="0"/>
        <w:pageBreakBefore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回复：同意专家建议，已补充本文调查对象的时间区间，已将讨论部分重复结果压缩简化并准确引用文献，具体在文中修改。</w:t>
      </w:r>
    </w:p>
    <w:p>
      <w:pPr>
        <w:keepNext w:val="0"/>
        <w:keepLines w:val="0"/>
        <w:pageBreakBefore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专家2意见：</w:t>
      </w: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该文研究目的是“了解分子传播特征和传播性耐药情况”，研究设计的什么？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rPr>
        <w:drawing>
          <wp:anchor distT="0" distB="0" distL="0" distR="0" simplePos="0" relativeHeight="251658240" behindDoc="0" locked="0" layoutInCell="1" allowOverlap="1">
            <wp:simplePos x="0" y="0"/>
            <wp:positionH relativeFrom="column">
              <wp:posOffset>175260</wp:posOffset>
            </wp:positionH>
            <wp:positionV relativeFrom="paragraph">
              <wp:posOffset>195580</wp:posOffset>
            </wp:positionV>
            <wp:extent cx="5324475" cy="2693035"/>
            <wp:effectExtent l="0" t="0" r="9525" b="4445"/>
            <wp:wrapNone/>
            <wp:docPr id="4" name="图片 1" descr="C:\Users\Administrator\AppData\Roaming\Tencent\Users\547336507\QQ\WinTemp\RichOle\36EG2XP_K2W6HNV13BPDF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AppData\Roaming\Tencent\Users\547336507\QQ\WinTemp\RichOle\36EG2XP_K2W6HNV13BPDFLH.png"/>
                    <pic:cNvPicPr>
                      <a:picLocks noChangeAspect="1" noChangeArrowheads="1"/>
                    </pic:cNvPicPr>
                  </pic:nvPicPr>
                  <pic:blipFill>
                    <a:blip r:embed="rId4"/>
                    <a:srcRect t="6964" b="8165"/>
                    <a:stretch>
                      <a:fillRect/>
                    </a:stretch>
                  </pic:blipFill>
                  <pic:spPr>
                    <a:xfrm>
                      <a:off x="0" y="0"/>
                      <a:ext cx="5324475" cy="2693035"/>
                    </a:xfrm>
                    <a:prstGeom prst="rect">
                      <a:avLst/>
                    </a:prstGeom>
                    <a:noFill/>
                    <a:ln w="9525">
                      <a:noFill/>
                      <a:miter lim="800000"/>
                      <a:headEnd/>
                      <a:tailEnd/>
                    </a:ln>
                  </pic:spPr>
                </pic:pic>
              </a:graphicData>
            </a:graphic>
          </wp:anchor>
        </w:drawing>
      </w:r>
      <w:r>
        <w:rPr>
          <w:rFonts w:hint="eastAsia" w:ascii="宋体" w:hAnsi="宋体" w:eastAsia="宋体" w:cs="宋体"/>
          <w:b w:val="0"/>
          <w:bCs/>
          <w:sz w:val="24"/>
          <w:szCs w:val="24"/>
        </w:rPr>
        <w:t>回复：本文的研究设计思路如下：</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kern w:val="0"/>
          <w:sz w:val="24"/>
          <w:szCs w:val="24"/>
        </w:rPr>
      </w:pP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研究对象131例未能描述清楚，新确证感染者是什么时间的？是按照报告地，还是按照现住址？有无纳入标准或排除标准？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回复：同意专家意见，在文中补充修改。解释如下：131例为2015-2018年丽水地区报告MSM HIV-1感染者，纳入标准：未进行抗病毒治疗。</w:t>
      </w: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从131例到最终纳入分析的89例，占研究对象的68%，还有32%的样本未能纳入分析，是否对结果会产生较大的影响？</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浙江省疾病预防控制中心从2015年开始开展浙江省分子流行病学调查，要求各地市收集新确证未经过抗病毒治疗病人血样，所以丽水市也从2015年开始收集血样，2015-2018年共有符合标准的对象131例，但由于病人原因未能收集到血样26例。实验过程未扩增成功10例，其余6例测序序列质量不合格被排除，最终得到89例合格序列进行分析，占研究对象68%。从统计学角度分析，属于不可避免的随机误差，对结果有一定影响，但本文研究目的为亚型分布和传播特征，分析总体趋势，指导防控工作，得出的结论对总体目标应该不会太大偏离。</w:t>
      </w: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由于分析的例数为89例，表1中的人口学特征分组不宜太细了，很多组都只有1-2例，在计算百分比，没有太多意义。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回复：由于我市属于浙西南山区地级市，人口基数本来就少，MSM人群比例偏低，所以该人群总数直接导致了本研究内容的样本数量，虽然我们把目前所有掌握的MSM未经抗病毒治疗的病例纳入研究，但是种种原因我们只拿到了89个测序数据，而人口学特征的每个变量从流行病学角度都应该述及，虽然只有1-2例，请评审专家斟酌。                     </w:t>
      </w: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结果部分“同源性分析，结果显示CRF55_01B和CRF59_01B可能来源地涉及5个省份， 2例URF可能来源地为河北或北京。”，如何能够如此准确判断出来自某个具体的省份，是该亚型为该省份独有的吗？有相应的数据支持吗？</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回复：是利用全球HIV序列数据库中的BLAST在线分析工具进行同源性分析，寻找同源性最高并排名前5的序列，根据序列</w:t>
      </w:r>
      <w:r>
        <w:rPr>
          <w:rFonts w:hint="eastAsia" w:ascii="宋体" w:hAnsi="宋体" w:eastAsia="宋体" w:cs="宋体"/>
          <w:b w:val="0"/>
          <w:bCs/>
          <w:color w:val="auto"/>
          <w:sz w:val="24"/>
          <w:szCs w:val="24"/>
        </w:rPr>
        <w:t>注解的地理位置分析</w:t>
      </w:r>
      <w:r>
        <w:rPr>
          <w:rFonts w:hint="eastAsia" w:ascii="宋体" w:hAnsi="宋体" w:eastAsia="宋体" w:cs="宋体"/>
          <w:b w:val="0"/>
          <w:bCs/>
          <w:sz w:val="24"/>
          <w:szCs w:val="24"/>
        </w:rPr>
        <w:t>可能来源（见下图）（https://www.hiv.lanl.gov/content/sequence/BASIC_BLAST/basic_blast.html）。</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drawing>
          <wp:anchor distT="0" distB="0" distL="0" distR="0" simplePos="0" relativeHeight="251660288" behindDoc="0" locked="0" layoutInCell="1" allowOverlap="1">
            <wp:simplePos x="0" y="0"/>
            <wp:positionH relativeFrom="column">
              <wp:posOffset>988695</wp:posOffset>
            </wp:positionH>
            <wp:positionV relativeFrom="paragraph">
              <wp:posOffset>-2418715</wp:posOffset>
            </wp:positionV>
            <wp:extent cx="4161155" cy="2581275"/>
            <wp:effectExtent l="0" t="0" r="14605" b="9525"/>
            <wp:wrapNone/>
            <wp:docPr id="1" name="图片 1" descr="C:\Users\Administrator\AppData\Roaming\Tencent\Users\547336507\QQ\WinTemp\RichOle\`ZG8V$V9Z33L4GIJD56F~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547336507\QQ\WinTemp\RichOle\`ZG8V$V9Z33L4GIJD56F~YG.png"/>
                    <pic:cNvPicPr>
                      <a:picLocks noChangeAspect="1" noChangeArrowheads="1"/>
                    </pic:cNvPicPr>
                  </pic:nvPicPr>
                  <pic:blipFill>
                    <a:blip r:embed="rId5"/>
                    <a:srcRect/>
                    <a:stretch>
                      <a:fillRect/>
                    </a:stretch>
                  </pic:blipFill>
                  <pic:spPr>
                    <a:xfrm>
                      <a:off x="0" y="0"/>
                      <a:ext cx="4161399" cy="2581275"/>
                    </a:xfrm>
                    <a:prstGeom prst="rect">
                      <a:avLst/>
                    </a:prstGeom>
                    <a:noFill/>
                    <a:ln w="9525">
                      <a:noFill/>
                      <a:miter lim="800000"/>
                      <a:headEnd/>
                      <a:tailEnd/>
                    </a:ln>
                  </pic:spPr>
                </pic:pic>
              </a:graphicData>
            </a:graphic>
          </wp:anchor>
        </w:drawing>
      </w: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讨论部分“丽水市MSM哨点HIV阳性率平均2.7%，远低于浙江省平均水平，也低于其他地区报告的感染率。每年新报告的病例中，MSM比例从2008年8.8%增加至2018年27.8%”，结论为“MSM成为本市最难防控的核心人群”，看不出之间的支持联系，还有72%的感染者是什么呢？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回复：文中每年新报告的病例中，MSM比例从2008年8.8%增加至2018年27.8%”，结论为</w:t>
      </w:r>
      <w:r>
        <w:rPr>
          <w:rFonts w:hint="eastAsia" w:ascii="宋体" w:hAnsi="宋体" w:eastAsia="宋体" w:cs="宋体"/>
          <w:b w:val="0"/>
          <w:bCs/>
          <w:sz w:val="24"/>
          <w:szCs w:val="24"/>
          <w:highlight w:val="none"/>
        </w:rPr>
        <w:t>“MSM成为本市最难防控的核心人群”，这样的描述缺乏直接联系，有失偏颇，结论将改为MSM人群已成为本市重点防控人群之一。此外还有72%的感染者主要是异性传播人群。得</w:t>
      </w:r>
      <w:r>
        <w:rPr>
          <w:rFonts w:hint="eastAsia" w:ascii="宋体" w:hAnsi="宋体" w:eastAsia="宋体" w:cs="宋体"/>
          <w:b w:val="0"/>
          <w:bCs/>
          <w:sz w:val="24"/>
          <w:szCs w:val="24"/>
        </w:rPr>
        <w:t>出此结论论据如下：下图为全国HIV传播途径构成比趋势图，可以看出，传播模式转变成以性传播为主，但是同性传播人群呈现明显上升趋势，本市情况与全国相似，国内外研究显示，MSM人群具有无保护性交，隐秘性和排他性，性行为关系网络复杂，存在同性性行为和异性性行为网络并存的现象，同性性行为中又存在固定和临时性伴的双层性伴网络等特点，所以MSM已经成为重点防控人群。</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rPr>
        <w:drawing>
          <wp:anchor distT="0" distB="0" distL="0" distR="0" simplePos="0" relativeHeight="251659264" behindDoc="0" locked="0" layoutInCell="1" allowOverlap="1">
            <wp:simplePos x="0" y="0"/>
            <wp:positionH relativeFrom="column">
              <wp:posOffset>800100</wp:posOffset>
            </wp:positionH>
            <wp:positionV relativeFrom="paragraph">
              <wp:posOffset>85725</wp:posOffset>
            </wp:positionV>
            <wp:extent cx="4234180" cy="2924175"/>
            <wp:effectExtent l="0" t="0" r="2540" b="1905"/>
            <wp:wrapNone/>
            <wp:docPr id="2" name="图片 1" descr="C:\Users\Administrator\AppData\Roaming\Tencent\Users\547336507\QQ\WinTemp\RichOle\1[XR_AY4I`N42LCF_S9Y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547336507\QQ\WinTemp\RichOle\1[XR_AY4I`N42LCF_S9YJ@S.png"/>
                    <pic:cNvPicPr>
                      <a:picLocks noChangeAspect="1" noChangeArrowheads="1"/>
                    </pic:cNvPicPr>
                  </pic:nvPicPr>
                  <pic:blipFill>
                    <a:blip r:embed="rId6"/>
                    <a:srcRect/>
                    <a:stretch>
                      <a:fillRect/>
                    </a:stretch>
                  </pic:blipFill>
                  <pic:spPr>
                    <a:xfrm>
                      <a:off x="0" y="0"/>
                      <a:ext cx="4239999" cy="2927925"/>
                    </a:xfrm>
                    <a:prstGeom prst="rect">
                      <a:avLst/>
                    </a:prstGeom>
                    <a:noFill/>
                    <a:ln w="9525">
                      <a:noFill/>
                      <a:miter lim="800000"/>
                      <a:headEnd/>
                      <a:tailEnd/>
                    </a:ln>
                  </pic:spPr>
                </pic:pic>
              </a:graphicData>
            </a:graphic>
          </wp:anchor>
        </w:drawing>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kern w:val="0"/>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numPr>
          <w:ilvl w:val="0"/>
          <w:numId w:val="1"/>
        </w:numPr>
        <w:kinsoku/>
        <w:wordWrap/>
        <w:overflowPunct/>
        <w:topLinePunct w:val="0"/>
        <w:autoSpaceDE/>
        <w:autoSpaceDN/>
        <w:bidi w:val="0"/>
        <w:adjustRightInd/>
        <w:snapToGrid/>
        <w:spacing w:line="320" w:lineRule="exact"/>
        <w:ind w:left="-13" w:leftChars="-6" w:firstLine="14" w:firstLineChars="6"/>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“中国的MSM HIV毒株亚型随着时间推移正经历显著变化”，是否能从本研究中也能得到类似的结果？建议对不同年份的MSM感染者的亚型以及耐药情况进行分析。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回复：同意专家建议，将在文中增加分析。分析如下：本文也能得到类似结果，从表2看，丽水市从2015年到2018年间，CRF01_AE亚型构成逐渐减少，而CRF07_BC亚型比重增加，而多样性从2016年开始增多。传播性耐药在2015、2016、2018分别1例。</w:t>
      </w:r>
    </w:p>
    <w:tbl>
      <w:tblPr>
        <w:tblStyle w:val="6"/>
        <w:tblW w:w="9786" w:type="dxa"/>
        <w:tblInd w:w="93" w:type="dxa"/>
        <w:tblLayout w:type="fixed"/>
        <w:tblCellMar>
          <w:top w:w="0" w:type="dxa"/>
          <w:left w:w="108" w:type="dxa"/>
          <w:bottom w:w="0" w:type="dxa"/>
          <w:right w:w="108" w:type="dxa"/>
        </w:tblCellMar>
      </w:tblPr>
      <w:tblGrid>
        <w:gridCol w:w="656"/>
        <w:gridCol w:w="649"/>
        <w:gridCol w:w="1257"/>
        <w:gridCol w:w="1257"/>
        <w:gridCol w:w="953"/>
        <w:gridCol w:w="1036"/>
        <w:gridCol w:w="1160"/>
        <w:gridCol w:w="1160"/>
        <w:gridCol w:w="1658"/>
      </w:tblGrid>
      <w:tr>
        <w:tblPrEx>
          <w:tblLayout w:type="fixed"/>
          <w:tblCellMar>
            <w:top w:w="0" w:type="dxa"/>
            <w:left w:w="108" w:type="dxa"/>
            <w:bottom w:w="0" w:type="dxa"/>
            <w:right w:w="108" w:type="dxa"/>
          </w:tblCellMar>
        </w:tblPrEx>
        <w:trPr>
          <w:trHeight w:val="360" w:hRule="atLeast"/>
        </w:trPr>
        <w:tc>
          <w:tcPr>
            <w:tcW w:w="9786" w:type="dxa"/>
            <w:gridSpan w:val="9"/>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表2 丽水市2015～2018年男同人群HIV-1亚型分布变化趋势</w:t>
            </w:r>
          </w:p>
        </w:tc>
      </w:tr>
      <w:tr>
        <w:tblPrEx>
          <w:tblLayout w:type="fixed"/>
          <w:tblCellMar>
            <w:top w:w="0" w:type="dxa"/>
            <w:left w:w="108" w:type="dxa"/>
            <w:bottom w:w="0" w:type="dxa"/>
            <w:right w:w="108" w:type="dxa"/>
          </w:tblCellMar>
        </w:tblPrEx>
        <w:trPr>
          <w:trHeight w:val="405" w:hRule="atLeast"/>
        </w:trPr>
        <w:tc>
          <w:tcPr>
            <w:tcW w:w="65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年</w:t>
            </w:r>
          </w:p>
        </w:tc>
        <w:tc>
          <w:tcPr>
            <w:tcW w:w="64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例数</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CRF01_AE</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CRF07_BC</w:t>
            </w:r>
          </w:p>
        </w:tc>
        <w:tc>
          <w:tcPr>
            <w:tcW w:w="95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B</w:t>
            </w:r>
          </w:p>
        </w:tc>
        <w:tc>
          <w:tcPr>
            <w:tcW w:w="10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CRF08_BC</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CRF55_01B</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CRF59_01B</w:t>
            </w:r>
          </w:p>
        </w:tc>
        <w:tc>
          <w:tcPr>
            <w:tcW w:w="165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URF(01_AE/BC)</w:t>
            </w:r>
          </w:p>
        </w:tc>
      </w:tr>
      <w:tr>
        <w:tblPrEx>
          <w:tblLayout w:type="fixed"/>
          <w:tblCellMar>
            <w:top w:w="0" w:type="dxa"/>
            <w:left w:w="108" w:type="dxa"/>
            <w:bottom w:w="0" w:type="dxa"/>
            <w:right w:w="108" w:type="dxa"/>
          </w:tblCellMar>
        </w:tblPrEx>
        <w:trPr>
          <w:trHeight w:val="330" w:hRule="atLeast"/>
        </w:trPr>
        <w:tc>
          <w:tcPr>
            <w:tcW w:w="656"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2015</w:t>
            </w:r>
          </w:p>
        </w:tc>
        <w:tc>
          <w:tcPr>
            <w:tcW w:w="649"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14</w:t>
            </w:r>
          </w:p>
        </w:tc>
        <w:tc>
          <w:tcPr>
            <w:tcW w:w="1257"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10(71.4)</w:t>
            </w:r>
          </w:p>
        </w:tc>
        <w:tc>
          <w:tcPr>
            <w:tcW w:w="1257"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3(21.4)</w:t>
            </w:r>
          </w:p>
        </w:tc>
        <w:tc>
          <w:tcPr>
            <w:tcW w:w="953"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w:t>
            </w:r>
          </w:p>
        </w:tc>
        <w:tc>
          <w:tcPr>
            <w:tcW w:w="1036"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w:t>
            </w:r>
          </w:p>
        </w:tc>
        <w:tc>
          <w:tcPr>
            <w:tcW w:w="1160"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w:t>
            </w:r>
          </w:p>
        </w:tc>
        <w:tc>
          <w:tcPr>
            <w:tcW w:w="1160"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w:t>
            </w:r>
          </w:p>
        </w:tc>
        <w:tc>
          <w:tcPr>
            <w:tcW w:w="1658"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1(7.1)</w:t>
            </w:r>
          </w:p>
        </w:tc>
      </w:tr>
      <w:tr>
        <w:tblPrEx>
          <w:tblLayout w:type="fixed"/>
          <w:tblCellMar>
            <w:top w:w="0" w:type="dxa"/>
            <w:left w:w="108" w:type="dxa"/>
            <w:bottom w:w="0" w:type="dxa"/>
            <w:right w:w="108" w:type="dxa"/>
          </w:tblCellMar>
        </w:tblPrEx>
        <w:trPr>
          <w:trHeight w:val="270" w:hRule="atLeast"/>
        </w:trPr>
        <w:tc>
          <w:tcPr>
            <w:tcW w:w="65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2016</w:t>
            </w:r>
          </w:p>
        </w:tc>
        <w:tc>
          <w:tcPr>
            <w:tcW w:w="64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26</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11(42.3)</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10(38.5)</w:t>
            </w:r>
          </w:p>
        </w:tc>
        <w:tc>
          <w:tcPr>
            <w:tcW w:w="95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2(7.7)</w:t>
            </w:r>
          </w:p>
        </w:tc>
        <w:tc>
          <w:tcPr>
            <w:tcW w:w="10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1(3.8)</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1(3.8)</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1(3.8)</w:t>
            </w:r>
          </w:p>
        </w:tc>
        <w:tc>
          <w:tcPr>
            <w:tcW w:w="165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65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2017</w:t>
            </w:r>
          </w:p>
        </w:tc>
        <w:tc>
          <w:tcPr>
            <w:tcW w:w="64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29</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14(48.3)</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12(41.4)</w:t>
            </w:r>
          </w:p>
        </w:tc>
        <w:tc>
          <w:tcPr>
            <w:tcW w:w="95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c>
          <w:tcPr>
            <w:tcW w:w="10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2(6.9)</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1(3.4)</w:t>
            </w:r>
          </w:p>
        </w:tc>
        <w:tc>
          <w:tcPr>
            <w:tcW w:w="165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65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2018</w:t>
            </w:r>
          </w:p>
        </w:tc>
        <w:tc>
          <w:tcPr>
            <w:tcW w:w="649"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9(45.0)</w:t>
            </w:r>
          </w:p>
        </w:tc>
        <w:tc>
          <w:tcPr>
            <w:tcW w:w="1257"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8(40)</w:t>
            </w:r>
          </w:p>
        </w:tc>
        <w:tc>
          <w:tcPr>
            <w:tcW w:w="95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1(5.0)</w:t>
            </w:r>
          </w:p>
        </w:tc>
        <w:tc>
          <w:tcPr>
            <w:tcW w:w="10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1(5.0)</w:t>
            </w: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c>
          <w:tcPr>
            <w:tcW w:w="11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p>
        </w:tc>
        <w:tc>
          <w:tcPr>
            <w:tcW w:w="1658"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1(5.0)</w:t>
            </w:r>
          </w:p>
        </w:tc>
      </w:tr>
      <w:tr>
        <w:tblPrEx>
          <w:tblLayout w:type="fixed"/>
          <w:tblCellMar>
            <w:top w:w="0" w:type="dxa"/>
            <w:left w:w="108" w:type="dxa"/>
            <w:bottom w:w="0" w:type="dxa"/>
            <w:right w:w="108" w:type="dxa"/>
          </w:tblCellMar>
        </w:tblPrEx>
        <w:trPr>
          <w:trHeight w:val="270" w:hRule="atLeast"/>
        </w:trPr>
        <w:tc>
          <w:tcPr>
            <w:tcW w:w="65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总计</w:t>
            </w:r>
          </w:p>
        </w:tc>
        <w:tc>
          <w:tcPr>
            <w:tcW w:w="649"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89</w:t>
            </w:r>
          </w:p>
        </w:tc>
        <w:tc>
          <w:tcPr>
            <w:tcW w:w="1257"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44(49.4)</w:t>
            </w:r>
          </w:p>
        </w:tc>
        <w:tc>
          <w:tcPr>
            <w:tcW w:w="1257"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33(37.1)</w:t>
            </w:r>
          </w:p>
        </w:tc>
        <w:tc>
          <w:tcPr>
            <w:tcW w:w="953"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3(3.4)</w:t>
            </w:r>
          </w:p>
        </w:tc>
        <w:tc>
          <w:tcPr>
            <w:tcW w:w="103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2(2.2)</w:t>
            </w:r>
          </w:p>
        </w:tc>
        <w:tc>
          <w:tcPr>
            <w:tcW w:w="116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3(3.4)</w:t>
            </w:r>
          </w:p>
        </w:tc>
        <w:tc>
          <w:tcPr>
            <w:tcW w:w="116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2(2.2)</w:t>
            </w:r>
          </w:p>
        </w:tc>
        <w:tc>
          <w:tcPr>
            <w:tcW w:w="165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2(2.2)</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sz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第一次</w:t>
      </w:r>
      <w:r>
        <w:rPr>
          <w:rFonts w:hint="eastAsia" w:ascii="宋体" w:hAnsi="宋体" w:eastAsia="宋体" w:cs="宋体"/>
          <w:b w:val="0"/>
          <w:bCs w:val="0"/>
          <w:sz w:val="24"/>
          <w:szCs w:val="24"/>
          <w:lang w:val="en-US" w:eastAsia="zh-CN"/>
        </w:rPr>
        <w:t>复审</w:t>
      </w:r>
      <w:r>
        <w:rPr>
          <w:rFonts w:hint="eastAsia" w:ascii="宋体" w:hAnsi="宋体" w:eastAsia="宋体" w:cs="宋体"/>
          <w:b w:val="0"/>
          <w:bCs w:val="0"/>
          <w:sz w:val="24"/>
          <w:szCs w:val="24"/>
        </w:rPr>
        <w:t>意见：</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将一审中的意见1-3、5在文章中体现出来，其中1-2、5在方法部分，3在讨论部分。该研究的样本为2015-2018年新诊断的病例，是在诊断后就马上采样做亚型还是间隔多长时间，应做方法中说明。另外，32%的样本未纳入，作者认为“得出的结论对总体目标应该不会太大偏离。”，应该提供相应的数据支持，如缺失的42例，和纳入的89例是否有差异？作为学术论文，应该用数据来说明。 </w:t>
      </w:r>
    </w:p>
    <w:p>
      <w:pPr>
        <w:keepNext w:val="0"/>
        <w:keepLines w:val="0"/>
        <w:pageBreakBefore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w:t>
      </w:r>
      <w:r>
        <w:rPr>
          <w:rFonts w:hint="eastAsia" w:ascii="宋体" w:hAnsi="宋体" w:eastAsia="宋体" w:cs="宋体"/>
          <w:b w:val="0"/>
          <w:bCs w:val="0"/>
          <w:color w:val="000000" w:themeColor="text1"/>
          <w:sz w:val="24"/>
          <w:szCs w:val="24"/>
          <w:highlight w:val="none"/>
          <w14:textFill>
            <w14:solidFill>
              <w14:schemeClr w14:val="tx1"/>
            </w14:solidFill>
          </w14:textFill>
        </w:rPr>
        <w:t>同意专家意见，已经将一审中的1-2、5在方法部分，3在讨论部分体现。</w:t>
      </w:r>
      <w:r>
        <w:rPr>
          <w:rFonts w:hint="eastAsia" w:ascii="宋体" w:hAnsi="宋体" w:eastAsia="宋体" w:cs="宋体"/>
          <w:b w:val="0"/>
          <w:bCs w:val="0"/>
          <w:sz w:val="24"/>
          <w:szCs w:val="24"/>
          <w:highlight w:val="none"/>
        </w:rPr>
        <w:t>对</w:t>
      </w:r>
      <w:r>
        <w:rPr>
          <w:rFonts w:hint="eastAsia" w:ascii="宋体" w:hAnsi="宋体" w:eastAsia="宋体" w:cs="宋体"/>
          <w:b w:val="0"/>
          <w:bCs w:val="0"/>
          <w:sz w:val="24"/>
          <w:szCs w:val="24"/>
        </w:rPr>
        <w:t>未纳入的样本对结果的影响解释如下：首先42例样本中26例在确证后因为病人流失等原因未能及时采集血样，10例因为病毒量少而未扩增成功，而如今所有病人均经过抗病毒治疗而不符合纳入标准，无法进行补充实验。缺失的病例对结果产生的影响程度，我们只能将纳入样本与未纳入样本人口学特征进行统计分析提供数据侧面印证，见表1，发现2组样本在人口学特征方面没有显著差异；其余16例中6例序列较短不符合构建进化树标准，但在网站对其进行同源分析显示，6例中4例为</w:t>
      </w:r>
      <w:r>
        <w:rPr>
          <w:rFonts w:hint="eastAsia" w:ascii="宋体" w:hAnsi="宋体" w:eastAsia="宋体" w:cs="宋体"/>
          <w:b w:val="0"/>
          <w:bCs w:val="0"/>
          <w:color w:val="000000"/>
          <w:kern w:val="0"/>
          <w:sz w:val="24"/>
          <w:szCs w:val="24"/>
        </w:rPr>
        <w:t>CRF01_AE（66.7%），2例为CRF07_BC（33.3%），与文中结果优势亚型符合。</w:t>
      </w:r>
      <w:r>
        <w:rPr>
          <w:rFonts w:hint="eastAsia" w:ascii="宋体" w:hAnsi="宋体" w:eastAsia="宋体" w:cs="宋体"/>
          <w:b w:val="0"/>
          <w:bCs w:val="0"/>
          <w:sz w:val="24"/>
          <w:szCs w:val="24"/>
        </w:rPr>
        <w:t xml:space="preserve">最后我们将在讨论中将样本问题作为本研究存在问题来做说明。接下来进一步延续研究时间，不断积累新发现的未经抗病毒治疗的MSM阳性样本丰富本研究工作内容。请评审专家斟酌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表1 已纳入与未纳入研究对象人口特征</w:t>
      </w:r>
    </w:p>
    <w:tbl>
      <w:tblPr>
        <w:tblStyle w:val="6"/>
        <w:tblW w:w="9440" w:type="dxa"/>
        <w:tblInd w:w="108" w:type="dxa"/>
        <w:tblLayout w:type="fixed"/>
        <w:tblCellMar>
          <w:top w:w="0" w:type="dxa"/>
          <w:left w:w="108" w:type="dxa"/>
          <w:bottom w:w="0" w:type="dxa"/>
          <w:right w:w="108" w:type="dxa"/>
        </w:tblCellMar>
      </w:tblPr>
      <w:tblGrid>
        <w:gridCol w:w="2696"/>
        <w:gridCol w:w="2336"/>
        <w:gridCol w:w="2216"/>
        <w:gridCol w:w="1096"/>
        <w:gridCol w:w="1096"/>
      </w:tblGrid>
      <w:tr>
        <w:tblPrEx>
          <w:tblLayout w:type="fixed"/>
          <w:tblCellMar>
            <w:top w:w="0" w:type="dxa"/>
            <w:left w:w="108" w:type="dxa"/>
            <w:bottom w:w="0" w:type="dxa"/>
            <w:right w:w="108" w:type="dxa"/>
          </w:tblCellMar>
        </w:tblPrEx>
        <w:trPr>
          <w:trHeight w:val="312" w:hRule="atLeast"/>
        </w:trPr>
        <w:tc>
          <w:tcPr>
            <w:tcW w:w="2696" w:type="dxa"/>
            <w:vMerge w:val="restart"/>
            <w:tcBorders>
              <w:top w:val="single" w:color="auto" w:sz="8"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变量</w:t>
            </w:r>
          </w:p>
        </w:tc>
        <w:tc>
          <w:tcPr>
            <w:tcW w:w="2336" w:type="dxa"/>
            <w:vMerge w:val="restart"/>
            <w:tcBorders>
              <w:top w:val="single" w:color="auto" w:sz="8"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已纳入研究对象（n=89）</w:t>
            </w:r>
          </w:p>
        </w:tc>
        <w:tc>
          <w:tcPr>
            <w:tcW w:w="2216" w:type="dxa"/>
            <w:vMerge w:val="restart"/>
            <w:tcBorders>
              <w:top w:val="single" w:color="auto" w:sz="8"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未纳入研究对象（n=36）</w:t>
            </w:r>
          </w:p>
        </w:tc>
        <w:tc>
          <w:tcPr>
            <w:tcW w:w="1096" w:type="dxa"/>
            <w:vMerge w:val="restart"/>
            <w:tcBorders>
              <w:top w:val="single" w:color="auto" w:sz="8"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值</w:t>
            </w:r>
          </w:p>
        </w:tc>
        <w:tc>
          <w:tcPr>
            <w:tcW w:w="1096" w:type="dxa"/>
            <w:vMerge w:val="restart"/>
            <w:tcBorders>
              <w:top w:val="single" w:color="auto" w:sz="8"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i/>
                <w:iCs/>
                <w:color w:val="000000"/>
                <w:kern w:val="0"/>
                <w:sz w:val="24"/>
                <w:szCs w:val="24"/>
              </w:rPr>
            </w:pPr>
            <w:r>
              <w:rPr>
                <w:rFonts w:hint="eastAsia" w:ascii="宋体" w:hAnsi="宋体" w:eastAsia="宋体" w:cs="宋体"/>
                <w:b w:val="0"/>
                <w:bCs w:val="0"/>
                <w:i/>
                <w:iCs/>
                <w:color w:val="000000"/>
                <w:kern w:val="0"/>
                <w:sz w:val="24"/>
                <w:szCs w:val="24"/>
              </w:rPr>
              <w:t>P</w:t>
            </w:r>
            <w:r>
              <w:rPr>
                <w:rFonts w:hint="eastAsia" w:ascii="宋体" w:hAnsi="宋体" w:eastAsia="宋体" w:cs="宋体"/>
                <w:b w:val="0"/>
                <w:bCs w:val="0"/>
                <w:color w:val="000000"/>
                <w:kern w:val="0"/>
                <w:sz w:val="24"/>
                <w:szCs w:val="24"/>
              </w:rPr>
              <w:t>值</w:t>
            </w:r>
          </w:p>
        </w:tc>
      </w:tr>
      <w:tr>
        <w:tblPrEx>
          <w:tblLayout w:type="fixed"/>
          <w:tblCellMar>
            <w:top w:w="0" w:type="dxa"/>
            <w:left w:w="108" w:type="dxa"/>
            <w:bottom w:w="0" w:type="dxa"/>
            <w:right w:w="108" w:type="dxa"/>
          </w:tblCellMar>
        </w:tblPrEx>
        <w:trPr>
          <w:trHeight w:val="495" w:hRule="atLeast"/>
        </w:trPr>
        <w:tc>
          <w:tcPr>
            <w:tcW w:w="2696" w:type="dxa"/>
            <w:vMerge w:val="continue"/>
            <w:tcBorders>
              <w:top w:val="single" w:color="auto" w:sz="8" w:space="0"/>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c>
          <w:tcPr>
            <w:tcW w:w="2336" w:type="dxa"/>
            <w:vMerge w:val="continue"/>
            <w:tcBorders>
              <w:top w:val="single" w:color="auto" w:sz="8" w:space="0"/>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c>
          <w:tcPr>
            <w:tcW w:w="2216" w:type="dxa"/>
            <w:vMerge w:val="continue"/>
            <w:tcBorders>
              <w:top w:val="single" w:color="auto" w:sz="8" w:space="0"/>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c>
          <w:tcPr>
            <w:tcW w:w="1096" w:type="dxa"/>
            <w:vMerge w:val="continue"/>
            <w:tcBorders>
              <w:top w:val="single" w:color="auto" w:sz="8" w:space="0"/>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c>
          <w:tcPr>
            <w:tcW w:w="1096" w:type="dxa"/>
            <w:vMerge w:val="continue"/>
            <w:tcBorders>
              <w:top w:val="single" w:color="auto" w:sz="8" w:space="0"/>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iCs/>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年龄(岁)</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4.603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0.100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≤25</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35（39.3）</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8（22.2）</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26～</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28（31.5）</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11（30.6）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﹥35</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26（29.2）</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17（47.2）</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民族</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0.029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0.865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汉族</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86（96.6）</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35（97.2）</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少数民族</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3（3.4）</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1（2.8）</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婚姻状况</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2.676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0.262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未婚</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69（77.5）</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23（63.9）</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已婚有配偶</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14（15.7）</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10（27.8）</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离异或丧偶</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6（6.7）</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3（8.3）</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户籍地</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0.740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0.691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本市</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77（86.5）</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29（80.6）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本省其他市</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3（3.4）</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其他省/外籍</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9（10.1）</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5（3.8）</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教育程度</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4.361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0.225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小学及以下</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10（11.2）</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8（22.2）</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初中</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25（28.1）</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11（30.6）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高中或中专</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25（28.1）</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5（3.8）</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大专及以上</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29（32.6）</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12（33.3）</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职业</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7.037 </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0.218 </w:t>
            </w: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农民、工人、民工</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29（32.6）</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11（30.6）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家政、家务及待业</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9（10.1）</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3（8.3）</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干部职员、离退人员、学生</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21（23.6）</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8（22.2）</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商业服务人员</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20（22.5）</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6（16.7）</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2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公共场所服务人员</w:t>
            </w:r>
          </w:p>
        </w:tc>
        <w:tc>
          <w:tcPr>
            <w:tcW w:w="23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7（7.9）</w:t>
            </w:r>
          </w:p>
        </w:tc>
        <w:tc>
          <w:tcPr>
            <w:tcW w:w="22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2（5.6）</w:t>
            </w: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10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2696" w:type="dxa"/>
            <w:tcBorders>
              <w:top w:val="nil"/>
              <w:left w:val="nil"/>
              <w:bottom w:val="single" w:color="auto"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  其他</w:t>
            </w:r>
          </w:p>
        </w:tc>
        <w:tc>
          <w:tcPr>
            <w:tcW w:w="2336" w:type="dxa"/>
            <w:tcBorders>
              <w:top w:val="nil"/>
              <w:left w:val="nil"/>
              <w:bottom w:val="single" w:color="auto"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3（3.4）</w:t>
            </w:r>
          </w:p>
        </w:tc>
        <w:tc>
          <w:tcPr>
            <w:tcW w:w="2216" w:type="dxa"/>
            <w:tcBorders>
              <w:top w:val="nil"/>
              <w:left w:val="nil"/>
              <w:bottom w:val="single" w:color="auto"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6（16.7）</w:t>
            </w:r>
          </w:p>
        </w:tc>
        <w:tc>
          <w:tcPr>
            <w:tcW w:w="1096" w:type="dxa"/>
            <w:tcBorders>
              <w:top w:val="nil"/>
              <w:left w:val="nil"/>
              <w:bottom w:val="single" w:color="auto"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1096" w:type="dxa"/>
            <w:tcBorders>
              <w:top w:val="nil"/>
              <w:left w:val="nil"/>
              <w:bottom w:val="single" w:color="auto"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表1的内容是对研究对象的人口学特征进行分组后比较了不同亚型的差异，且做了卡方及P值，“发现只有教育程度对亚型分布的差异有统计学意义。”如何解释呢？</w:t>
      </w:r>
    </w:p>
    <w:p>
      <w:pPr>
        <w:keepNext w:val="0"/>
        <w:keepLines w:val="0"/>
        <w:pageBreakBefore w:val="0"/>
        <w:kinsoku/>
        <w:wordWrap/>
        <w:overflowPunct/>
        <w:topLinePunct w:val="0"/>
        <w:autoSpaceDE/>
        <w:autoSpaceDN/>
        <w:bidi w:val="0"/>
        <w:adjustRightInd/>
        <w:snapToGrid/>
        <w:spacing w:line="320" w:lineRule="exact"/>
        <w:ind w:left="473"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w:t>
      </w:r>
      <w:r>
        <w:rPr>
          <w:rFonts w:hint="eastAsia" w:ascii="宋体" w:hAnsi="宋体" w:eastAsia="宋体" w:cs="宋体"/>
          <w:b w:val="0"/>
          <w:bCs w:val="0"/>
          <w:sz w:val="24"/>
          <w:szCs w:val="24"/>
          <w:highlight w:val="none"/>
        </w:rPr>
        <w:t>同意专家意见，已在讨论中进行解释。如</w:t>
      </w:r>
      <w:r>
        <w:rPr>
          <w:rFonts w:hint="eastAsia" w:ascii="宋体" w:hAnsi="宋体" w:eastAsia="宋体" w:cs="宋体"/>
          <w:b w:val="0"/>
          <w:bCs w:val="0"/>
          <w:sz w:val="24"/>
          <w:szCs w:val="24"/>
        </w:rPr>
        <w:t>下：本研究人口学特征分析发现教育程度对亚型分布差异有统计学意义，社交网络对传播网络的影响已有研究</w:t>
      </w:r>
      <w:r>
        <w:rPr>
          <w:rFonts w:hint="eastAsia" w:ascii="宋体" w:hAnsi="宋体" w:eastAsia="宋体" w:cs="宋体"/>
          <w:b w:val="0"/>
          <w:bCs w:val="0"/>
          <w:sz w:val="24"/>
          <w:szCs w:val="24"/>
          <w:vertAlign w:val="superscript"/>
        </w:rPr>
        <w:t>[9]</w:t>
      </w:r>
      <w:r>
        <w:rPr>
          <w:rFonts w:hint="eastAsia" w:ascii="宋体" w:hAnsi="宋体" w:eastAsia="宋体" w:cs="宋体"/>
          <w:b w:val="0"/>
          <w:bCs w:val="0"/>
          <w:sz w:val="24"/>
          <w:szCs w:val="24"/>
        </w:rPr>
        <w:t>，推测相同教育背景的MSM联系紧密程度更高，相互传播风险更大。</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本文通过同源性分析发现，“毒株序列与河北或北京发现的重组存在高度同源，很可能是从这两地感染后返回原户籍，说明URF形成跨区域流动”，是否有相应的流行病学调查数据支</w:t>
      </w:r>
      <w:r>
        <w:rPr>
          <w:rFonts w:hint="eastAsia" w:ascii="宋体" w:hAnsi="宋体" w:eastAsia="宋体" w:cs="宋体"/>
          <w:b w:val="0"/>
          <w:bCs w:val="0"/>
          <w:sz w:val="24"/>
          <w:szCs w:val="24"/>
          <w:highlight w:val="none"/>
        </w:rPr>
        <w:t>持？如有，请补充。</w:t>
      </w:r>
    </w:p>
    <w:p>
      <w:pPr>
        <w:keepNext w:val="0"/>
        <w:keepLines w:val="0"/>
        <w:pageBreakBefore w:val="0"/>
        <w:kinsoku/>
        <w:wordWrap/>
        <w:overflowPunct/>
        <w:topLinePunct w:val="0"/>
        <w:autoSpaceDE/>
        <w:autoSpaceDN/>
        <w:bidi w:val="0"/>
        <w:adjustRightInd/>
        <w:snapToGrid/>
        <w:spacing w:line="320" w:lineRule="exact"/>
        <w:ind w:left="473"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highlight w:val="none"/>
        </w:rPr>
        <w:t>回复：同意专家意见，已在讨论中进行解释。如下：毒株序列与河北或北京发现的重组存在高度同源，流行病学信息显示其中1例病例</w:t>
      </w:r>
      <w:r>
        <w:rPr>
          <w:rFonts w:hint="eastAsia" w:ascii="宋体" w:hAnsi="宋体" w:eastAsia="宋体" w:cs="宋体"/>
          <w:b w:val="0"/>
          <w:bCs w:val="0"/>
          <w:sz w:val="24"/>
          <w:szCs w:val="24"/>
        </w:rPr>
        <w:t>长期固定性伴为HIV阳性河北藉，而另外1例病例自述在本省其他地市求学发生多性伴男性同性行为，推测URF形成跨区域流动。</w:t>
      </w:r>
    </w:p>
    <w:p>
      <w:pPr>
        <w:keepNext w:val="0"/>
        <w:keepLines w:val="0"/>
        <w:pageBreakBefore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传播簇的分析推测“莲都区是本市MSM活动最重要的聚集地”，请在结果部分补充研究对象的报告地、户籍地等的信息，是否存在报告地、户籍地聚集性的情况？</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w:t>
      </w:r>
      <w:r>
        <w:rPr>
          <w:rFonts w:hint="eastAsia" w:ascii="宋体" w:hAnsi="宋体" w:eastAsia="宋体" w:cs="宋体"/>
          <w:b w:val="0"/>
          <w:bCs w:val="0"/>
          <w:sz w:val="24"/>
          <w:szCs w:val="24"/>
          <w:highlight w:val="none"/>
        </w:rPr>
        <w:t>复：同意专家意见，已在结果和讨论中进行具体说明。如下</w:t>
      </w:r>
      <w:r>
        <w:rPr>
          <w:rFonts w:hint="eastAsia" w:ascii="宋体" w:hAnsi="宋体" w:eastAsia="宋体" w:cs="宋体"/>
          <w:b w:val="0"/>
          <w:bCs w:val="0"/>
          <w:sz w:val="24"/>
          <w:szCs w:val="24"/>
        </w:rPr>
        <w:t>：从毒株的地域信息分析，8个传播簇中仅传播簇4集中在松阳地区，其余7个传播簇 （84.5%）均与现住址为莲都的病例有关；户籍地有4个传播簇（50.0%）包含莲都区户籍病例。见表4。</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表4 丽水市MSM HIV-1传播簇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Table4  Transmission clusters of HIV-1 among MSM in Lishui</w:t>
      </w:r>
    </w:p>
    <w:tbl>
      <w:tblPr>
        <w:tblStyle w:val="6"/>
        <w:tblW w:w="10512" w:type="dxa"/>
        <w:jc w:val="center"/>
        <w:tblInd w:w="108" w:type="dxa"/>
        <w:tblLayout w:type="fixed"/>
        <w:tblCellMar>
          <w:top w:w="0" w:type="dxa"/>
          <w:left w:w="108" w:type="dxa"/>
          <w:bottom w:w="0" w:type="dxa"/>
          <w:right w:w="108" w:type="dxa"/>
        </w:tblCellMar>
      </w:tblPr>
      <w:tblGrid>
        <w:gridCol w:w="1716"/>
        <w:gridCol w:w="716"/>
        <w:gridCol w:w="596"/>
        <w:gridCol w:w="1696"/>
        <w:gridCol w:w="2676"/>
        <w:gridCol w:w="1936"/>
        <w:gridCol w:w="1176"/>
      </w:tblGrid>
      <w:tr>
        <w:tblPrEx>
          <w:tblLayout w:type="fixed"/>
          <w:tblCellMar>
            <w:top w:w="0" w:type="dxa"/>
            <w:left w:w="108" w:type="dxa"/>
            <w:bottom w:w="0" w:type="dxa"/>
            <w:right w:w="108" w:type="dxa"/>
          </w:tblCellMar>
        </w:tblPrEx>
        <w:trPr>
          <w:trHeight w:val="330" w:hRule="atLeast"/>
          <w:jc w:val="center"/>
        </w:trPr>
        <w:tc>
          <w:tcPr>
            <w:tcW w:w="171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亚型</w:t>
            </w:r>
          </w:p>
        </w:tc>
        <w:tc>
          <w:tcPr>
            <w:tcW w:w="71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传播簇</w:t>
            </w:r>
          </w:p>
        </w:tc>
        <w:tc>
          <w:tcPr>
            <w:tcW w:w="59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例数</w:t>
            </w:r>
          </w:p>
        </w:tc>
        <w:tc>
          <w:tcPr>
            <w:tcW w:w="169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户籍地</w:t>
            </w:r>
          </w:p>
        </w:tc>
        <w:tc>
          <w:tcPr>
            <w:tcW w:w="267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现住址</w:t>
            </w:r>
          </w:p>
        </w:tc>
        <w:tc>
          <w:tcPr>
            <w:tcW w:w="193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报告地</w:t>
            </w:r>
          </w:p>
        </w:tc>
        <w:tc>
          <w:tcPr>
            <w:tcW w:w="1176"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成簇比例(%)</w:t>
            </w: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CRF07_BC(n=33)</w:t>
            </w: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莲都(1)，青田(1)</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莲都(1)，青田(1)</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莲都(1)，青田(1)</w:t>
            </w:r>
          </w:p>
        </w:tc>
        <w:tc>
          <w:tcPr>
            <w:tcW w:w="1176" w:type="dxa"/>
            <w:vMerge w:val="restar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18.2</w:t>
            </w: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 xml:space="preserve"> </w:t>
            </w: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176" w:type="dxa"/>
            <w:vMerge w:val="continue"/>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景宁(1)，青田(1)</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176" w:type="dxa"/>
            <w:vMerge w:val="continue"/>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375"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CRF08_BC(n=2)</w:t>
            </w: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松阳(1)，重庆(1)</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松阳(2)</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1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vertAlign w:val="superscript"/>
              </w:rPr>
              <w:t>a</w:t>
            </w:r>
          </w:p>
        </w:tc>
      </w:tr>
      <w:tr>
        <w:tblPrEx>
          <w:tblLayout w:type="fixed"/>
          <w:tblCellMar>
            <w:top w:w="0" w:type="dxa"/>
            <w:left w:w="108" w:type="dxa"/>
            <w:bottom w:w="0" w:type="dxa"/>
            <w:right w:w="108" w:type="dxa"/>
          </w:tblCellMar>
        </w:tblPrEx>
        <w:trPr>
          <w:trHeight w:val="30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CRF01_AE(n=44)</w:t>
            </w: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莲都(1)，缙云(2)</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莲都(1)，缙云(2)</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莲都(2)，缙云(1)</w:t>
            </w:r>
          </w:p>
        </w:tc>
        <w:tc>
          <w:tcPr>
            <w:tcW w:w="1176" w:type="dxa"/>
            <w:vMerge w:val="restart"/>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25</w:t>
            </w: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333333"/>
                <w:kern w:val="0"/>
                <w:sz w:val="24"/>
                <w:szCs w:val="24"/>
              </w:rPr>
            </w:pP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龙泉(1)，遂昌(1)</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莲都(1)，遂昌(1)</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莲都(1)，遂昌(1)</w:t>
            </w:r>
          </w:p>
        </w:tc>
        <w:tc>
          <w:tcPr>
            <w:tcW w:w="1176" w:type="dxa"/>
            <w:vMerge w:val="continue"/>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p>
        </w:tc>
        <w:tc>
          <w:tcPr>
            <w:tcW w:w="71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5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69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莲都(1)，贵州(1)</w:t>
            </w:r>
          </w:p>
        </w:tc>
        <w:tc>
          <w:tcPr>
            <w:tcW w:w="267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936"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w:t>
            </w:r>
          </w:p>
        </w:tc>
        <w:tc>
          <w:tcPr>
            <w:tcW w:w="1176" w:type="dxa"/>
            <w:vMerge w:val="continue"/>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71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71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59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69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龙泉(4)</w:t>
            </w:r>
          </w:p>
        </w:tc>
        <w:tc>
          <w:tcPr>
            <w:tcW w:w="267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莲都(2)，龙泉(1)，金华(1)</w:t>
            </w:r>
          </w:p>
        </w:tc>
        <w:tc>
          <w:tcPr>
            <w:tcW w:w="1936"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莲都(4)</w:t>
            </w:r>
          </w:p>
        </w:tc>
        <w:tc>
          <w:tcPr>
            <w:tcW w:w="1176" w:type="dxa"/>
            <w:vMerge w:val="continue"/>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000000"/>
                <w:kern w:val="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第二次</w:t>
      </w:r>
      <w:r>
        <w:rPr>
          <w:rFonts w:hint="eastAsia" w:ascii="宋体" w:hAnsi="宋体" w:eastAsia="宋体" w:cs="宋体"/>
          <w:b w:val="0"/>
          <w:bCs w:val="0"/>
          <w:sz w:val="24"/>
          <w:szCs w:val="24"/>
          <w:lang w:val="en-US" w:eastAsia="zh-CN"/>
        </w:rPr>
        <w:t>复审</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bidi="ar"/>
        </w:rPr>
        <w:t>建议发表</w:t>
      </w:r>
      <w:r>
        <w:rPr>
          <w:rFonts w:hint="eastAsia" w:ascii="宋体" w:hAnsi="宋体" w:cs="宋体"/>
          <w:b w:val="0"/>
          <w:bCs w:val="0"/>
          <w:color w:val="auto"/>
          <w:kern w:val="0"/>
          <w:sz w:val="24"/>
          <w:szCs w:val="24"/>
          <w:lang w:eastAsia="zh-CN" w:bidi="ar"/>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color w:val="auto"/>
          <w:kern w:val="0"/>
          <w:sz w:val="24"/>
          <w:szCs w:val="24"/>
          <w:lang w:eastAsia="zh-CN" w:bidi="ar"/>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sz w:val="24"/>
          <w:szCs w:val="24"/>
        </w:rPr>
        <w:t>—</w:t>
      </w:r>
      <w:r>
        <w:rPr>
          <w:rFonts w:hint="eastAsia"/>
          <w:sz w:val="24"/>
        </w:rPr>
        <w:t>—————————————</w:t>
      </w:r>
      <w:r>
        <w:rPr>
          <w:rFonts w:hint="eastAsia"/>
          <w:b/>
          <w:sz w:val="24"/>
        </w:rPr>
        <w:t>定稿会意见与作者修改说明</w:t>
      </w:r>
      <w:r>
        <w:rPr>
          <w:rFonts w:hint="eastAsia"/>
          <w:sz w:val="24"/>
        </w:rPr>
        <w:t>——————————————</w:t>
      </w:r>
    </w:p>
    <w:p>
      <w:pPr>
        <w:spacing w:line="320" w:lineRule="exact"/>
        <w:ind w:left="540" w:hanging="540" w:hangingChars="225"/>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请针对以下问题进行修改完善后可以发表。意见如下：</w:t>
      </w:r>
    </w:p>
    <w:p>
      <w:pPr>
        <w:spacing w:line="320" w:lineRule="exact"/>
        <w:ind w:left="540" w:hanging="540" w:hangingChars="225"/>
        <w:rPr>
          <w:rFonts w:hint="eastAsia" w:ascii="宋体" w:hAnsi="宋体" w:eastAsia="宋体" w:cs="宋体"/>
          <w:sz w:val="24"/>
          <w:szCs w:val="24"/>
        </w:rPr>
      </w:pPr>
      <w:r>
        <w:rPr>
          <w:rFonts w:hint="eastAsia" w:ascii="宋体" w:hAnsi="宋体" w:eastAsia="宋体" w:cs="宋体"/>
          <w:sz w:val="24"/>
          <w:szCs w:val="24"/>
        </w:rPr>
        <w:t>图3”误标为“图2”，图3断点图表达的很不清晰，需要重做该图，选一株遗传距离较远的背景株，另找一条01_AE,一条07_BC参考株，图片中以参考株来展示重组断点。另外图3提到了“经过jpHMM重组分析工具分析”，最好把jpHMM的图也加入。</w:t>
      </w:r>
    </w:p>
    <w:p>
      <w:pPr>
        <w:spacing w:line="320" w:lineRule="exact"/>
        <w:ind w:left="540" w:hanging="540" w:hangingChars="225"/>
        <w:rPr>
          <w:rFonts w:hint="eastAsia" w:ascii="宋体" w:hAnsi="宋体" w:eastAsia="宋体" w:cs="宋体"/>
          <w:sz w:val="24"/>
          <w:szCs w:val="24"/>
        </w:rPr>
      </w:pPr>
      <w:r>
        <w:rPr>
          <w:rFonts w:hint="eastAsia" w:ascii="宋体" w:hAnsi="宋体" w:eastAsia="宋体" w:cs="宋体"/>
          <w:sz w:val="24"/>
          <w:szCs w:val="24"/>
        </w:rPr>
        <w:t>回复：同意专家意见，断点图已经重新做，选一株遗传距离较远的背景株，另找一条01_AE,一条07_BC参考株以,参考株展示断点重组。jpHMM图效果不理想未加入。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i w:val="0"/>
          <w:caps w:val="0"/>
          <w:color w:val="000000"/>
          <w:spacing w:val="0"/>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5BA70"/>
    <w:multiLevelType w:val="singleLevel"/>
    <w:tmpl w:val="EDF5BA70"/>
    <w:lvl w:ilvl="0" w:tentative="0">
      <w:start w:val="1"/>
      <w:numFmt w:val="decimal"/>
      <w:suff w:val="space"/>
      <w:lvlText w:val="%1、"/>
      <w:lvlJc w:val="left"/>
    </w:lvl>
  </w:abstractNum>
  <w:abstractNum w:abstractNumId="1">
    <w:nsid w:val="440B854D"/>
    <w:multiLevelType w:val="singleLevel"/>
    <w:tmpl w:val="440B85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44A3082"/>
    <w:rsid w:val="07C43FDB"/>
    <w:rsid w:val="0B0F6DF5"/>
    <w:rsid w:val="0D4B55DB"/>
    <w:rsid w:val="1656390B"/>
    <w:rsid w:val="181A1D41"/>
    <w:rsid w:val="1B3F435C"/>
    <w:rsid w:val="1DAE1FB5"/>
    <w:rsid w:val="1DCF4669"/>
    <w:rsid w:val="1E4B2B58"/>
    <w:rsid w:val="23931FA9"/>
    <w:rsid w:val="24FD7A3A"/>
    <w:rsid w:val="269C6478"/>
    <w:rsid w:val="29CC787F"/>
    <w:rsid w:val="2C1A7854"/>
    <w:rsid w:val="2F1039FB"/>
    <w:rsid w:val="35CD24B2"/>
    <w:rsid w:val="361572CB"/>
    <w:rsid w:val="36870E71"/>
    <w:rsid w:val="38ED5313"/>
    <w:rsid w:val="39524DB3"/>
    <w:rsid w:val="396D3480"/>
    <w:rsid w:val="39837203"/>
    <w:rsid w:val="3ABA6915"/>
    <w:rsid w:val="3F947F37"/>
    <w:rsid w:val="4776392C"/>
    <w:rsid w:val="48282759"/>
    <w:rsid w:val="49302D16"/>
    <w:rsid w:val="4F7A06AE"/>
    <w:rsid w:val="53561F03"/>
    <w:rsid w:val="54336E71"/>
    <w:rsid w:val="564E63DE"/>
    <w:rsid w:val="56D5514C"/>
    <w:rsid w:val="590D3B4D"/>
    <w:rsid w:val="5D790CAE"/>
    <w:rsid w:val="5E720C51"/>
    <w:rsid w:val="600F1B68"/>
    <w:rsid w:val="61211B38"/>
    <w:rsid w:val="6BAF19C6"/>
    <w:rsid w:val="6BE661D1"/>
    <w:rsid w:val="6C9E05DC"/>
    <w:rsid w:val="747909BD"/>
    <w:rsid w:val="758D391B"/>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6</TotalTime>
  <ScaleCrop>false</ScaleCrop>
  <LinksUpToDate>false</LinksUpToDate>
  <CharactersWithSpaces>1493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2019-06-15T11:14:49Z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